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i/>
          <w:i/>
          <w:sz w:val="28"/>
          <w:u w:val="single"/>
        </w:rPr>
      </w:pPr>
      <w:r>
        <w:rPr>
          <w:b/>
          <w:i/>
          <w:sz w:val="28"/>
          <w:u w:val="single"/>
        </w:rPr>
        <w:t>DRAFT</w:t>
      </w:r>
    </w:p>
    <w:p>
      <w:pPr>
        <w:pStyle w:val="Normal"/>
        <w:ind w:firstLine="720" w:start="3600" w:end="0"/>
        <w:rPr>
          <w:b/>
          <w:i/>
          <w:i/>
          <w:sz w:val="24"/>
          <w:u w:val="single"/>
        </w:rPr>
      </w:pPr>
      <w:r>
        <w:rPr>
          <w:b/>
          <w:i/>
          <w:sz w:val="24"/>
          <w:u w:val="single"/>
        </w:rPr>
      </w:r>
    </w:p>
    <w:p>
      <w:pPr>
        <w:pStyle w:val="Normal"/>
        <w:ind w:firstLine="720" w:start="3600" w:end="0"/>
        <w:rPr>
          <w:sz w:val="24"/>
        </w:rPr>
      </w:pPr>
      <w:r>
        <w:rPr>
          <w:sz w:val="24"/>
        </w:rPr>
      </w:r>
    </w:p>
    <w:p>
      <w:pPr>
        <w:pStyle w:val="Normal"/>
        <w:ind w:firstLine="720" w:start="3600" w:end="0"/>
        <w:rPr>
          <w:sz w:val="24"/>
        </w:rPr>
      </w:pPr>
      <w:r>
        <w:rPr>
          <w:sz w:val="24"/>
        </w:rPr>
      </w:r>
    </w:p>
    <w:p>
      <w:pPr>
        <w:pStyle w:val="Normal"/>
        <w:ind w:firstLine="720" w:start="3600" w:end="0"/>
        <w:rPr>
          <w:sz w:val="24"/>
        </w:rPr>
      </w:pP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p>
    <w:p>
      <w:pPr>
        <w:pStyle w:val="Normal"/>
        <w:rPr>
          <w:sz w:val="24"/>
        </w:rPr>
      </w:pPr>
      <w:r>
        <w:rPr>
          <w:sz w:val="24"/>
        </w:rPr>
        <w:t>Mr. Steven Ragiel</w:t>
      </w:r>
    </w:p>
    <w:p>
      <w:pPr>
        <w:pStyle w:val="Normal"/>
        <w:rPr>
          <w:sz w:val="24"/>
        </w:rPr>
      </w:pPr>
      <w:r>
        <w:rPr>
          <w:sz w:val="24"/>
        </w:rPr>
        <w:t>Vice President</w:t>
      </w:r>
    </w:p>
    <w:p>
      <w:pPr>
        <w:pStyle w:val="Normal"/>
        <w:rPr>
          <w:sz w:val="24"/>
        </w:rPr>
      </w:pPr>
      <w:r>
        <w:rPr>
          <w:sz w:val="24"/>
        </w:rPr>
        <w:t>Waste Management, Inc.</w:t>
      </w:r>
    </w:p>
    <w:p>
      <w:pPr>
        <w:pStyle w:val="Normal"/>
        <w:rPr>
          <w:sz w:val="24"/>
        </w:rPr>
      </w:pPr>
      <w:r>
        <w:rPr>
          <w:sz w:val="24"/>
        </w:rPr>
        <w:t>1001 Fannin, Suite 4000</w:t>
      </w:r>
    </w:p>
    <w:p>
      <w:pPr>
        <w:pStyle w:val="Normal"/>
        <w:rPr>
          <w:sz w:val="24"/>
        </w:rPr>
      </w:pPr>
      <w:r>
        <w:rPr>
          <w:sz w:val="24"/>
        </w:rPr>
        <w:t>Houston, Texas  77002</w:t>
      </w:r>
    </w:p>
    <w:p>
      <w:pPr>
        <w:pStyle w:val="Normal"/>
        <w:rPr>
          <w:sz w:val="24"/>
        </w:rPr>
      </w:pPr>
      <w:r>
        <w:rPr>
          <w:sz w:val="24"/>
        </w:rPr>
      </w:r>
    </w:p>
    <w:p>
      <w:pPr>
        <w:pStyle w:val="Normal"/>
        <w:jc w:val="center"/>
        <w:rPr>
          <w:b/>
          <w:sz w:val="24"/>
          <w:u w:val="single"/>
        </w:rPr>
      </w:pPr>
      <w:r>
        <w:rPr>
          <w:b/>
          <w:sz w:val="24"/>
          <w:u w:val="single"/>
        </w:rPr>
        <w:t>Re: Project Sort</w:t>
      </w:r>
    </w:p>
    <w:p>
      <w:pPr>
        <w:pStyle w:val="Normal"/>
        <w:rPr>
          <w:b/>
          <w:sz w:val="24"/>
          <w:u w:val="single"/>
        </w:rPr>
      </w:pPr>
      <w:r>
        <w:rPr>
          <w:b/>
          <w:sz w:val="24"/>
          <w:u w:val="single"/>
        </w:rPr>
      </w:r>
    </w:p>
    <w:p>
      <w:pPr>
        <w:pStyle w:val="Normal"/>
        <w:rPr>
          <w:sz w:val="24"/>
        </w:rPr>
      </w:pPr>
      <w:r>
        <w:rPr>
          <w:sz w:val="24"/>
        </w:rPr>
        <w:t>Dear Mr. Ragiel:</w:t>
      </w:r>
    </w:p>
    <w:p>
      <w:pPr>
        <w:pStyle w:val="Normal"/>
        <w:rPr>
          <w:sz w:val="24"/>
        </w:rPr>
      </w:pPr>
      <w:r>
        <w:rPr>
          <w:sz w:val="24"/>
        </w:rPr>
      </w:r>
    </w:p>
    <w:p>
      <w:pPr>
        <w:pStyle w:val="Normal"/>
        <w:spacing w:before="240" w:after="0"/>
        <w:jc w:val="both"/>
        <w:rPr>
          <w:sz w:val="24"/>
        </w:rPr>
      </w:pPr>
      <w:r>
        <w:rPr>
          <w:sz w:val="24"/>
        </w:rPr>
        <w:tab/>
        <w:t>Attached is a Discussion Outline ("Outline") prepared in connection with our ongoing conversations regarding the acquisition of the Sort Division ("Sort" or the "Company") from Parent Company ("Parent").  The attached is intended only as an outline of one of the many basic structures which are possible for the transaction under consideration (the "Transaction") and is not intended to include all the terms and conditions necessary to conclude the Transaction.</w:t>
      </w:r>
    </w:p>
    <w:p>
      <w:pPr>
        <w:pStyle w:val="Normal"/>
        <w:jc w:val="both"/>
        <w:rPr>
          <w:sz w:val="24"/>
        </w:rPr>
      </w:pPr>
      <w:r>
        <w:rPr>
          <w:sz w:val="24"/>
        </w:rPr>
      </w:r>
    </w:p>
    <w:p>
      <w:pPr>
        <w:pStyle w:val="Normal"/>
        <w:jc w:val="both"/>
        <w:rPr>
          <w:sz w:val="24"/>
        </w:rPr>
      </w:pPr>
      <w:r>
        <w:rPr>
          <w:sz w:val="24"/>
        </w:rPr>
        <w:tab/>
        <w:t>The Outline is provided solely as a basis for continued discussions and is not an offer or a commitment to consummate the Transaction.  Neither this letter nor the Outline creates or is intended to create a binding and enforceable contract or commitment between the parties, and neither this letter nor the Outline may be relied upon by either party as the basis for a contract or commitment.  This letter and the Outline are confidential and should not be shown to or discussed with any third party, and is transmitted pursuant to our Confidentiality Agreement dated [             ], 1999.</w:t>
      </w:r>
    </w:p>
    <w:p>
      <w:pPr>
        <w:pStyle w:val="Normal"/>
        <w:jc w:val="both"/>
        <w:rPr>
          <w:sz w:val="24"/>
        </w:rPr>
      </w:pPr>
      <w:r>
        <w:rPr>
          <w:sz w:val="24"/>
        </w:rPr>
      </w:r>
    </w:p>
    <w:p>
      <w:pPr>
        <w:pStyle w:val="Normal"/>
        <w:ind w:firstLine="720" w:end="0"/>
        <w:jc w:val="both"/>
        <w:rPr>
          <w:sz w:val="24"/>
        </w:rPr>
      </w:pPr>
      <w:r>
        <w:rPr>
          <w:sz w:val="24"/>
        </w:rPr>
        <w:t>The closing of this Transaction is subject to due diligence, the negotiation of definitive terms, including an acceptable [stock/asset] purchase agreement, the approval of management of each participant and its Board of Directors, review of the proposed structure of the Transaction by our counsel, tax and accounting advisors and execution of mutually acceptable documentation ("Definitive Agreements").</w:t>
      </w:r>
    </w:p>
    <w:p>
      <w:pPr>
        <w:pStyle w:val="Normal"/>
        <w:jc w:val="both"/>
        <w:rPr>
          <w:sz w:val="24"/>
        </w:rPr>
      </w:pPr>
      <w:r>
        <w:rPr>
          <w:sz w:val="24"/>
        </w:rPr>
      </w:r>
    </w:p>
    <w:p>
      <w:pPr>
        <w:pStyle w:val="Normal"/>
        <w:jc w:val="both"/>
        <w:rPr>
          <w:sz w:val="24"/>
        </w:rPr>
      </w:pPr>
      <w:r>
        <w:rPr>
          <w:sz w:val="24"/>
        </w:rPr>
        <w:tab/>
        <w:t>We look forward to continuing our dialogue.</w:t>
      </w:r>
    </w:p>
    <w:p>
      <w:pPr>
        <w:pStyle w:val="Normal"/>
        <w:rPr>
          <w:sz w:val="24"/>
        </w:rPr>
      </w:pPr>
      <w:r>
        <w:rPr>
          <w:sz w:val="24"/>
        </w:rPr>
      </w:r>
    </w:p>
    <w:p>
      <w:pPr>
        <w:pStyle w:val="Normal"/>
        <w:tabs>
          <w:tab w:val="clear" w:pos="720"/>
          <w:tab w:val="left" w:pos="4320" w:leader="none"/>
        </w:tabs>
        <w:rPr>
          <w:sz w:val="24"/>
        </w:rPr>
      </w:pPr>
      <w:r>
        <w:rPr>
          <w:sz w:val="24"/>
        </w:rPr>
        <w:tab/>
        <w:t>Very truly yours,</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JAA/mtp</w:t>
      </w:r>
    </w:p>
    <w:p>
      <w:pPr>
        <w:sectPr>
          <w:headerReference w:type="default" r:id="rId2"/>
          <w:headerReference w:type="first" r:id="rId3"/>
          <w:footerReference w:type="default" r:id="rId4"/>
          <w:footerReference w:type="first" r:id="rId5"/>
          <w:type w:val="nextPage"/>
          <w:pgSz w:w="12240" w:h="15840"/>
          <w:pgMar w:left="1800" w:right="1440" w:gutter="0" w:header="720" w:top="1440" w:footer="720" w:bottom="1440"/>
          <w:pgNumType w:fmt="decimal"/>
          <w:formProt w:val="false"/>
          <w:titlePg/>
          <w:textDirection w:val="lrTb"/>
          <w:docGrid w:type="default" w:linePitch="360" w:charSpace="0"/>
        </w:sectPr>
        <w:pStyle w:val="Normal"/>
        <w:rPr>
          <w:sz w:val="24"/>
        </w:rPr>
      </w:pPr>
      <w:r>
        <w:rPr>
          <w:sz w:val="24"/>
        </w:rPr>
        <w:t>Attachment (1): Discussion Outline</w:t>
      </w:r>
    </w:p>
    <w:p>
      <w:pPr>
        <w:pStyle w:val="Normal"/>
        <w:jc w:val="center"/>
        <w:rPr>
          <w:b/>
          <w:sz w:val="24"/>
        </w:rPr>
      </w:pPr>
      <w:r>
        <w:rPr>
          <w:b/>
          <w:sz w:val="24"/>
        </w:rPr>
        <w:t>ENRON NORTH AMERICA ("ENA")</w:t>
      </w:r>
    </w:p>
    <w:p>
      <w:pPr>
        <w:pStyle w:val="Normal"/>
        <w:jc w:val="center"/>
        <w:rPr>
          <w:b/>
          <w:sz w:val="24"/>
        </w:rPr>
      </w:pPr>
      <w:r>
        <w:rPr>
          <w:b/>
          <w:sz w:val="24"/>
        </w:rPr>
      </w:r>
    </w:p>
    <w:p>
      <w:pPr>
        <w:pStyle w:val="Normal"/>
        <w:jc w:val="center"/>
        <w:rPr>
          <w:b/>
          <w:sz w:val="24"/>
        </w:rPr>
      </w:pPr>
      <w:r>
        <w:rPr>
          <w:b/>
          <w:sz w:val="24"/>
        </w:rPr>
        <w:t>Discussion Outline</w:t>
      </w:r>
    </w:p>
    <w:p>
      <w:pPr>
        <w:pStyle w:val="Normal"/>
        <w:jc w:val="center"/>
        <w:rPr>
          <w:b/>
          <w:sz w:val="24"/>
        </w:rPr>
      </w:pPr>
      <w:r>
        <w:rPr>
          <w:b/>
          <w:sz w:val="24"/>
        </w:rPr>
        <w:t>for</w:t>
      </w:r>
    </w:p>
    <w:p>
      <w:pPr>
        <w:pStyle w:val="Normal"/>
        <w:jc w:val="center"/>
        <w:rPr>
          <w:b/>
          <w:sz w:val="24"/>
        </w:rPr>
      </w:pPr>
      <w:r>
        <w:rPr>
          <w:b/>
          <w:sz w:val="24"/>
        </w:rPr>
        <w:t>Acquisition of Sort Division</w:t>
      </w:r>
    </w:p>
    <w:p>
      <w:pPr>
        <w:pStyle w:val="Normal"/>
        <w:jc w:val="center"/>
        <w:rPr>
          <w:b/>
          <w:sz w:val="24"/>
        </w:rPr>
      </w:pPr>
      <w:r>
        <w:rPr>
          <w:b/>
          <w:sz w:val="24"/>
        </w:rPr>
        <w:t>from</w:t>
      </w:r>
    </w:p>
    <w:p>
      <w:pPr>
        <w:pStyle w:val="Normal"/>
        <w:jc w:val="center"/>
        <w:rPr>
          <w:b/>
          <w:sz w:val="24"/>
        </w:rPr>
      </w:pPr>
      <w:r>
        <w:rPr>
          <w:b/>
          <w:sz w:val="24"/>
        </w:rPr>
        <w:t>Parent Co. ("Parent")</w:t>
      </w:r>
    </w:p>
    <w:p>
      <w:pPr>
        <w:pStyle w:val="Normal"/>
        <w:jc w:val="center"/>
        <w:rPr>
          <w:b/>
          <w:sz w:val="24"/>
        </w:rPr>
      </w:pPr>
      <w:r>
        <w:rPr>
          <w:b/>
          <w:sz w:val="24"/>
        </w:rPr>
      </w:r>
    </w:p>
    <w:p>
      <w:pPr>
        <w:pStyle w:val="Normal"/>
        <w:jc w:val="center"/>
        <w:rPr>
          <w:b/>
          <w:sz w:val="24"/>
        </w:rPr>
      </w:pPr>
      <w:r>
        <w:rPr>
          <w:b/>
          <w:sz w:val="24"/>
        </w:rPr>
        <w:fldChar w:fldCharType="begin"/>
      </w:r>
      <w:r>
        <w:rPr>
          <w:sz w:val="24"/>
          <w:b/>
        </w:rPr>
        <w:instrText xml:space="preserve"> DATE \@"MMMM\ d', 'yyyy" </w:instrText>
      </w:r>
      <w:r>
        <w:rPr>
          <w:sz w:val="24"/>
          <w:b/>
        </w:rPr>
        <w:fldChar w:fldCharType="separate"/>
      </w:r>
      <w:r>
        <w:rPr>
          <w:sz w:val="24"/>
          <w:b/>
        </w:rPr>
        <w:t>September 28, 2025</w:t>
      </w:r>
      <w:r>
        <w:rPr>
          <w:sz w:val="24"/>
          <w:b/>
        </w:rPr>
        <w:fldChar w:fldCharType="end"/>
      </w:r>
    </w:p>
    <w:p>
      <w:pPr>
        <w:pStyle w:val="Normal"/>
        <w:jc w:val="both"/>
        <w:rPr>
          <w:b/>
          <w:sz w:val="24"/>
        </w:rPr>
      </w:pPr>
      <w:r>
        <w:rPr>
          <w:b/>
          <w:sz w:val="24"/>
        </w:rPr>
      </w:r>
    </w:p>
    <w:p>
      <w:pPr>
        <w:pStyle w:val="Normal"/>
        <w:jc w:val="both"/>
        <w:rPr/>
      </w:pPr>
      <w:r>
        <w:rPr>
          <w:sz w:val="24"/>
          <w:u w:val="single"/>
        </w:rPr>
        <w:t>Structure</w:t>
      </w:r>
      <w:r>
        <w:rPr>
          <w:sz w:val="24"/>
        </w:rPr>
        <w:t>:  The Transaction will be structured such that a limited liability, special purpose vehicle or joint venture will be formed by Sort Division Management ("Sort"), ENA, Parent and additional equity investors to be determined (collectively referred to as "Equity Partners") to acquire Parent's recycling business and/or specific assets or stock of the Parent (the "Company").</w:t>
      </w:r>
    </w:p>
    <w:p>
      <w:pPr>
        <w:pStyle w:val="Normal"/>
        <w:jc w:val="both"/>
        <w:rPr>
          <w:sz w:val="24"/>
        </w:rPr>
      </w:pPr>
      <w:r>
        <w:rPr>
          <w:sz w:val="24"/>
        </w:rPr>
      </w:r>
    </w:p>
    <w:p>
      <w:pPr>
        <w:pStyle w:val="Normal"/>
        <w:jc w:val="both"/>
        <w:rPr/>
      </w:pPr>
      <w:r>
        <w:rPr>
          <w:sz w:val="24"/>
          <w:u w:val="single"/>
        </w:rPr>
        <w:t>Acquisition Price</w:t>
      </w:r>
      <w:r>
        <w:rPr>
          <w:sz w:val="24"/>
        </w:rPr>
        <w:t>:  The acquisition price is estimated to be [3 to 4] times the average of 1997 and 1998 audited EBITDA, or approximately $[200 – 225] million, paid in cash consideration.  The acquisition price would be subject to adjustment for changes as calculated on any accrual basis in accordance with GAAP.  No debt or past liabilities of Parent will be assumed.</w:t>
      </w:r>
    </w:p>
    <w:p>
      <w:pPr>
        <w:pStyle w:val="Normal"/>
        <w:jc w:val="both"/>
        <w:rPr>
          <w:sz w:val="24"/>
        </w:rPr>
      </w:pPr>
      <w:r>
        <w:rPr>
          <w:sz w:val="24"/>
        </w:rPr>
      </w:r>
    </w:p>
    <w:p>
      <w:pPr>
        <w:pStyle w:val="Normal"/>
        <w:jc w:val="both"/>
        <w:rPr/>
      </w:pPr>
      <w:r>
        <w:rPr>
          <w:sz w:val="24"/>
          <w:u w:val="single"/>
        </w:rPr>
        <w:t>Number of shares/percentage ownership</w:t>
      </w:r>
      <w:r>
        <w:rPr>
          <w:sz w:val="24"/>
        </w:rPr>
        <w:t>:  Each Equity Partner will receive a share of the Company's equity based on their respective common stock pro-rata contribution.  See Management Promote section for additional provisions.</w:t>
      </w:r>
    </w:p>
    <w:p>
      <w:pPr>
        <w:pStyle w:val="Normal"/>
        <w:jc w:val="both"/>
        <w:rPr>
          <w:sz w:val="24"/>
        </w:rPr>
      </w:pPr>
      <w:r>
        <w:rPr>
          <w:sz w:val="24"/>
        </w:rPr>
      </w:r>
    </w:p>
    <w:p>
      <w:pPr>
        <w:pStyle w:val="Normal"/>
        <w:jc w:val="both"/>
        <w:rPr/>
      </w:pPr>
      <w:r>
        <w:rPr>
          <w:sz w:val="24"/>
          <w:u w:val="single"/>
        </w:rPr>
        <w:t>Sources and Uses of Funds</w:t>
      </w:r>
      <w:r>
        <w:rPr>
          <w:sz w:val="24"/>
        </w:rPr>
        <w:t>:  To finance the acquisition of the Company by the Equity Partners, and other acceptable costs as agreed to in a pre-closing budget substantially in accordance with the following tables:</w:t>
      </w:r>
    </w:p>
    <w:p>
      <w:pPr>
        <w:pStyle w:val="Normal"/>
        <w:jc w:val="both"/>
        <w:rPr>
          <w:sz w:val="24"/>
        </w:rPr>
      </w:pPr>
      <w:r>
        <w:rPr>
          <w:sz w:val="24"/>
        </w:rPr>
      </w:r>
    </w:p>
    <w:p>
      <w:pPr>
        <w:pStyle w:val="Normal"/>
        <w:jc w:val="both"/>
        <w:rPr/>
      </w:pPr>
      <w:r>
        <w:rPr>
          <w:sz w:val="24"/>
          <w:u w:val="single"/>
        </w:rPr>
        <w:t>Sources of Funds</w:t>
      </w:r>
      <w:r>
        <w:rPr>
          <w:sz w:val="24"/>
        </w:rPr>
        <w:t>:</w:t>
      </w:r>
    </w:p>
    <w:tbl>
      <w:tblPr>
        <w:tblW w:w="7038" w:type="dxa"/>
        <w:jc w:val="start"/>
        <w:tblInd w:w="0" w:type="dxa"/>
        <w:tblLayout w:type="fixed"/>
        <w:tblCellMar>
          <w:top w:w="0" w:type="dxa"/>
          <w:start w:w="108" w:type="dxa"/>
          <w:bottom w:w="0" w:type="dxa"/>
          <w:end w:w="108" w:type="dxa"/>
        </w:tblCellMar>
      </w:tblPr>
      <w:tblGrid>
        <w:gridCol w:w="4608"/>
        <w:gridCol w:w="2430"/>
      </w:tblGrid>
      <w:tr>
        <w:trPr/>
        <w:tc>
          <w:tcPr>
            <w:tcW w:w="4608" w:type="dxa"/>
            <w:tcBorders/>
          </w:tcPr>
          <w:p>
            <w:pPr>
              <w:pStyle w:val="Normal"/>
              <w:jc w:val="both"/>
              <w:rPr>
                <w:sz w:val="24"/>
              </w:rPr>
            </w:pPr>
            <w:r>
              <w:rPr>
                <w:sz w:val="24"/>
              </w:rPr>
              <w:t>Debt (senior or high yield):</w:t>
            </w:r>
          </w:p>
        </w:tc>
        <w:tc>
          <w:tcPr>
            <w:tcW w:w="2430" w:type="dxa"/>
            <w:tcBorders/>
          </w:tcPr>
          <w:p>
            <w:pPr>
              <w:pStyle w:val="Normal"/>
              <w:jc w:val="both"/>
              <w:rPr>
                <w:sz w:val="24"/>
              </w:rPr>
            </w:pPr>
            <w:r>
              <w:rPr>
                <w:sz w:val="24"/>
              </w:rPr>
              <w:t xml:space="preserve">$[160 – 175] </w:t>
              <w:tab/>
              <w:t>million</w:t>
            </w:r>
          </w:p>
        </w:tc>
      </w:tr>
      <w:tr>
        <w:trPr/>
        <w:tc>
          <w:tcPr>
            <w:tcW w:w="4608" w:type="dxa"/>
            <w:tcBorders/>
          </w:tcPr>
          <w:p>
            <w:pPr>
              <w:pStyle w:val="Normal"/>
              <w:jc w:val="both"/>
              <w:rPr>
                <w:sz w:val="24"/>
              </w:rPr>
            </w:pPr>
            <w:r>
              <w:rPr>
                <w:sz w:val="24"/>
              </w:rPr>
              <w:t>Equity</w:t>
            </w:r>
          </w:p>
        </w:tc>
        <w:tc>
          <w:tcPr>
            <w:tcW w:w="2430" w:type="dxa"/>
            <w:tcBorders/>
          </w:tcPr>
          <w:p>
            <w:pPr>
              <w:pStyle w:val="Normal"/>
              <w:snapToGrid w:val="false"/>
              <w:jc w:val="both"/>
              <w:rPr>
                <w:sz w:val="24"/>
              </w:rPr>
            </w:pPr>
            <w:r>
              <w:rPr>
                <w:sz w:val="24"/>
              </w:rPr>
            </w:r>
          </w:p>
        </w:tc>
      </w:tr>
      <w:tr>
        <w:trPr/>
        <w:tc>
          <w:tcPr>
            <w:tcW w:w="4608" w:type="dxa"/>
            <w:tcBorders/>
          </w:tcPr>
          <w:p>
            <w:pPr>
              <w:pStyle w:val="Normal"/>
              <w:numPr>
                <w:ilvl w:val="0"/>
                <w:numId w:val="3"/>
              </w:numPr>
              <w:jc w:val="both"/>
              <w:rPr>
                <w:sz w:val="24"/>
              </w:rPr>
            </w:pPr>
            <w:r>
              <w:rPr>
                <w:sz w:val="24"/>
              </w:rPr>
              <w:t>ENA Common</w:t>
            </w:r>
          </w:p>
        </w:tc>
        <w:tc>
          <w:tcPr>
            <w:tcW w:w="2430" w:type="dxa"/>
            <w:tcBorders/>
          </w:tcPr>
          <w:p>
            <w:pPr>
              <w:pStyle w:val="Normal"/>
              <w:jc w:val="both"/>
              <w:rPr>
                <w:sz w:val="24"/>
              </w:rPr>
            </w:pPr>
            <w:r>
              <w:rPr>
                <w:sz w:val="24"/>
              </w:rPr>
              <w:t xml:space="preserve">$[10 – 15] </w:t>
              <w:tab/>
              <w:t>million</w:t>
            </w:r>
          </w:p>
        </w:tc>
      </w:tr>
      <w:tr>
        <w:trPr/>
        <w:tc>
          <w:tcPr>
            <w:tcW w:w="4608" w:type="dxa"/>
            <w:tcBorders/>
          </w:tcPr>
          <w:p>
            <w:pPr>
              <w:pStyle w:val="Normal"/>
              <w:numPr>
                <w:ilvl w:val="0"/>
                <w:numId w:val="4"/>
              </w:numPr>
              <w:jc w:val="both"/>
              <w:rPr>
                <w:sz w:val="24"/>
              </w:rPr>
            </w:pPr>
            <w:r>
              <w:rPr>
                <w:sz w:val="24"/>
              </w:rPr>
              <w:t>Sort Management Common</w:t>
            </w:r>
          </w:p>
        </w:tc>
        <w:tc>
          <w:tcPr>
            <w:tcW w:w="2430" w:type="dxa"/>
            <w:tcBorders/>
          </w:tcPr>
          <w:p>
            <w:pPr>
              <w:pStyle w:val="Normal"/>
              <w:jc w:val="both"/>
              <w:rPr/>
            </w:pPr>
            <w:r>
              <w:rPr>
                <w:sz w:val="24"/>
              </w:rPr>
              <w:t>$[10 – 12</w:t>
            </w:r>
            <w:r>
              <w:rPr>
                <w:rStyle w:val="FootnoteCharacters"/>
                <w:rStyle w:val="FootnoteReference"/>
                <w:rFonts w:eastAsia="Symbol" w:cs="Symbol" w:ascii="Symbol" w:hAnsi="Symbol"/>
                <w:sz w:val="24"/>
              </w:rPr>
              <w:footnoteReference w:customMarkFollows="1" w:id="2"/>
              <w:t></w:t>
            </w:r>
            <w:r>
              <w:rPr>
                <w:sz w:val="24"/>
              </w:rPr>
              <w:t xml:space="preserve">] </w:t>
              <w:tab/>
              <w:t>million</w:t>
            </w:r>
          </w:p>
        </w:tc>
      </w:tr>
      <w:tr>
        <w:trPr/>
        <w:tc>
          <w:tcPr>
            <w:tcW w:w="4608" w:type="dxa"/>
            <w:tcBorders/>
          </w:tcPr>
          <w:p>
            <w:pPr>
              <w:pStyle w:val="Normal"/>
              <w:numPr>
                <w:ilvl w:val="0"/>
                <w:numId w:val="2"/>
              </w:numPr>
              <w:jc w:val="both"/>
              <w:rPr>
                <w:sz w:val="24"/>
              </w:rPr>
            </w:pPr>
            <w:r>
              <w:rPr>
                <w:sz w:val="24"/>
              </w:rPr>
              <w:t>Parent Common</w:t>
            </w:r>
          </w:p>
        </w:tc>
        <w:tc>
          <w:tcPr>
            <w:tcW w:w="2430" w:type="dxa"/>
            <w:tcBorders/>
          </w:tcPr>
          <w:p>
            <w:pPr>
              <w:pStyle w:val="Normal"/>
              <w:jc w:val="both"/>
              <w:rPr>
                <w:sz w:val="24"/>
              </w:rPr>
            </w:pPr>
            <w:r>
              <w:rPr>
                <w:sz w:val="24"/>
              </w:rPr>
              <w:t xml:space="preserve">$[10] </w:t>
              <w:tab/>
              <w:tab/>
              <w:t>million</w:t>
            </w:r>
          </w:p>
        </w:tc>
      </w:tr>
      <w:tr>
        <w:trPr/>
        <w:tc>
          <w:tcPr>
            <w:tcW w:w="4608" w:type="dxa"/>
            <w:tcBorders/>
          </w:tcPr>
          <w:p>
            <w:pPr>
              <w:pStyle w:val="Normal"/>
              <w:numPr>
                <w:ilvl w:val="0"/>
                <w:numId w:val="5"/>
              </w:numPr>
              <w:jc w:val="both"/>
              <w:rPr>
                <w:sz w:val="24"/>
              </w:rPr>
            </w:pPr>
            <w:r>
              <w:rPr>
                <w:sz w:val="24"/>
              </w:rPr>
              <w:t>ENA Convertible Preferred</w:t>
            </w:r>
          </w:p>
        </w:tc>
        <w:tc>
          <w:tcPr>
            <w:tcW w:w="2430" w:type="dxa"/>
            <w:tcBorders/>
          </w:tcPr>
          <w:p>
            <w:pPr>
              <w:pStyle w:val="Normal"/>
              <w:jc w:val="both"/>
              <w:rPr>
                <w:sz w:val="24"/>
              </w:rPr>
            </w:pPr>
            <w:r>
              <w:rPr>
                <w:sz w:val="24"/>
              </w:rPr>
              <w:t xml:space="preserve">$[5 – 8] </w:t>
              <w:tab/>
              <w:t>million</w:t>
            </w:r>
          </w:p>
        </w:tc>
      </w:tr>
      <w:tr>
        <w:trPr/>
        <w:tc>
          <w:tcPr>
            <w:tcW w:w="4608" w:type="dxa"/>
            <w:tcBorders/>
          </w:tcPr>
          <w:p>
            <w:pPr>
              <w:pStyle w:val="Normal"/>
              <w:numPr>
                <w:ilvl w:val="0"/>
                <w:numId w:val="1"/>
              </w:numPr>
              <w:jc w:val="both"/>
              <w:rPr>
                <w:sz w:val="24"/>
              </w:rPr>
            </w:pPr>
            <w:r>
              <w:rPr>
                <w:sz w:val="24"/>
              </w:rPr>
              <w:t>Partner(s) X Common</w:t>
            </w:r>
          </w:p>
        </w:tc>
        <w:tc>
          <w:tcPr>
            <w:tcW w:w="2430" w:type="dxa"/>
            <w:tcBorders>
              <w:bottom w:val="single" w:sz="4" w:space="0" w:color="000000"/>
            </w:tcBorders>
          </w:tcPr>
          <w:p>
            <w:pPr>
              <w:pStyle w:val="Normal"/>
              <w:jc w:val="both"/>
              <w:rPr>
                <w:sz w:val="24"/>
              </w:rPr>
            </w:pPr>
            <w:r>
              <w:rPr>
                <w:sz w:val="24"/>
              </w:rPr>
              <w:t xml:space="preserve">$[12 – 15] </w:t>
              <w:tab/>
              <w:t>million</w:t>
            </w:r>
          </w:p>
        </w:tc>
      </w:tr>
      <w:tr>
        <w:trPr/>
        <w:tc>
          <w:tcPr>
            <w:tcW w:w="4608" w:type="dxa"/>
            <w:tcBorders/>
          </w:tcPr>
          <w:p>
            <w:pPr>
              <w:pStyle w:val="Normal"/>
              <w:snapToGrid w:val="false"/>
              <w:jc w:val="both"/>
              <w:rPr>
                <w:sz w:val="24"/>
              </w:rPr>
            </w:pPr>
            <w:r>
              <w:rPr>
                <w:sz w:val="24"/>
              </w:rPr>
            </w:r>
          </w:p>
        </w:tc>
        <w:tc>
          <w:tcPr>
            <w:tcW w:w="2430" w:type="dxa"/>
            <w:tcBorders/>
          </w:tcPr>
          <w:p>
            <w:pPr>
              <w:pStyle w:val="Normal"/>
              <w:jc w:val="both"/>
              <w:rPr>
                <w:sz w:val="24"/>
              </w:rPr>
            </w:pPr>
            <w:r>
              <w:rPr>
                <w:sz w:val="24"/>
              </w:rPr>
              <w:t xml:space="preserve">$[207 – 235] </w:t>
              <w:tab/>
              <w:t>million</w:t>
            </w:r>
          </w:p>
        </w:tc>
      </w:tr>
    </w:tbl>
    <w:p>
      <w:pPr>
        <w:pStyle w:val="Normal"/>
        <w:jc w:val="both"/>
        <w:rPr>
          <w:sz w:val="24"/>
        </w:rPr>
      </w:pPr>
      <w:r>
        <w:rPr>
          <w:sz w:val="24"/>
        </w:rPr>
      </w:r>
      <w:r>
        <w:br w:type="page"/>
      </w:r>
    </w:p>
    <w:p>
      <w:pPr>
        <w:pStyle w:val="Normal"/>
        <w:jc w:val="both"/>
        <w:rPr>
          <w:sz w:val="24"/>
        </w:rPr>
      </w:pPr>
      <w:r>
        <w:rPr>
          <w:sz w:val="24"/>
        </w:rPr>
      </w:r>
    </w:p>
    <w:p>
      <w:pPr>
        <w:pStyle w:val="Normal"/>
        <w:jc w:val="both"/>
        <w:rPr/>
      </w:pPr>
      <w:r>
        <w:rPr>
          <w:sz w:val="24"/>
          <w:u w:val="single"/>
        </w:rPr>
        <w:t>Uses of Funds</w:t>
      </w:r>
      <w:r>
        <w:rPr>
          <w:sz w:val="24"/>
        </w:rPr>
        <w:t>:</w:t>
      </w:r>
    </w:p>
    <w:tbl>
      <w:tblPr>
        <w:tblW w:w="7128" w:type="dxa"/>
        <w:jc w:val="start"/>
        <w:tblInd w:w="0" w:type="dxa"/>
        <w:tblLayout w:type="fixed"/>
        <w:tblCellMar>
          <w:top w:w="0" w:type="dxa"/>
          <w:start w:w="108" w:type="dxa"/>
          <w:bottom w:w="0" w:type="dxa"/>
          <w:end w:w="108" w:type="dxa"/>
        </w:tblCellMar>
      </w:tblPr>
      <w:tblGrid>
        <w:gridCol w:w="4608"/>
        <w:gridCol w:w="2520"/>
      </w:tblGrid>
      <w:tr>
        <w:trPr/>
        <w:tc>
          <w:tcPr>
            <w:tcW w:w="4608" w:type="dxa"/>
            <w:tcBorders/>
          </w:tcPr>
          <w:p>
            <w:pPr>
              <w:pStyle w:val="Normal"/>
              <w:jc w:val="both"/>
              <w:rPr>
                <w:sz w:val="24"/>
              </w:rPr>
            </w:pPr>
            <w:r>
              <w:rPr>
                <w:sz w:val="24"/>
              </w:rPr>
              <w:tab/>
              <w:t>Acquisition Price:</w:t>
            </w:r>
          </w:p>
        </w:tc>
        <w:tc>
          <w:tcPr>
            <w:tcW w:w="2520" w:type="dxa"/>
            <w:tcBorders/>
          </w:tcPr>
          <w:p>
            <w:pPr>
              <w:pStyle w:val="Normal"/>
              <w:jc w:val="both"/>
              <w:rPr>
                <w:sz w:val="24"/>
              </w:rPr>
            </w:pPr>
            <w:r>
              <w:rPr>
                <w:sz w:val="24"/>
              </w:rPr>
              <w:t xml:space="preserve">$[200 – 225] </w:t>
              <w:tab/>
              <w:t>million</w:t>
            </w:r>
          </w:p>
        </w:tc>
      </w:tr>
      <w:tr>
        <w:trPr/>
        <w:tc>
          <w:tcPr>
            <w:tcW w:w="4608" w:type="dxa"/>
            <w:tcBorders/>
          </w:tcPr>
          <w:p>
            <w:pPr>
              <w:pStyle w:val="Normal"/>
              <w:ind w:start="720" w:end="0"/>
              <w:jc w:val="both"/>
              <w:rPr>
                <w:sz w:val="24"/>
              </w:rPr>
            </w:pPr>
            <w:r>
              <w:rPr>
                <w:sz w:val="24"/>
              </w:rPr>
              <w:t>Financing Fees:</w:t>
            </w:r>
          </w:p>
        </w:tc>
        <w:tc>
          <w:tcPr>
            <w:tcW w:w="2520" w:type="dxa"/>
            <w:tcBorders/>
          </w:tcPr>
          <w:p>
            <w:pPr>
              <w:pStyle w:val="Normal"/>
              <w:jc w:val="both"/>
              <w:rPr>
                <w:sz w:val="24"/>
              </w:rPr>
            </w:pPr>
            <w:r>
              <w:rPr>
                <w:sz w:val="24"/>
              </w:rPr>
              <w:t xml:space="preserve">$[5 – 6] </w:t>
              <w:tab/>
              <w:t>million</w:t>
            </w:r>
          </w:p>
        </w:tc>
      </w:tr>
      <w:tr>
        <w:trPr/>
        <w:tc>
          <w:tcPr>
            <w:tcW w:w="4608" w:type="dxa"/>
            <w:tcBorders/>
          </w:tcPr>
          <w:p>
            <w:pPr>
              <w:pStyle w:val="Normal"/>
              <w:ind w:start="720" w:end="0"/>
              <w:jc w:val="both"/>
              <w:rPr>
                <w:sz w:val="24"/>
              </w:rPr>
            </w:pPr>
            <w:r>
              <w:rPr>
                <w:sz w:val="24"/>
              </w:rPr>
              <w:t>Closing Costs:</w:t>
            </w:r>
          </w:p>
        </w:tc>
        <w:tc>
          <w:tcPr>
            <w:tcW w:w="2520" w:type="dxa"/>
            <w:tcBorders>
              <w:bottom w:val="single" w:sz="4" w:space="0" w:color="000000"/>
            </w:tcBorders>
          </w:tcPr>
          <w:p>
            <w:pPr>
              <w:pStyle w:val="Normal"/>
              <w:jc w:val="both"/>
              <w:rPr>
                <w:sz w:val="24"/>
              </w:rPr>
            </w:pPr>
            <w:r>
              <w:rPr>
                <w:sz w:val="24"/>
              </w:rPr>
              <w:t xml:space="preserve">$[2 – 4] </w:t>
              <w:tab/>
              <w:t>million</w:t>
            </w:r>
          </w:p>
        </w:tc>
      </w:tr>
      <w:tr>
        <w:trPr/>
        <w:tc>
          <w:tcPr>
            <w:tcW w:w="4608" w:type="dxa"/>
            <w:tcBorders/>
          </w:tcPr>
          <w:p>
            <w:pPr>
              <w:pStyle w:val="Normal"/>
              <w:snapToGrid w:val="false"/>
              <w:ind w:start="720" w:end="0"/>
              <w:jc w:val="both"/>
              <w:rPr>
                <w:sz w:val="24"/>
              </w:rPr>
            </w:pPr>
            <w:r>
              <w:rPr>
                <w:sz w:val="24"/>
              </w:rPr>
            </w:r>
          </w:p>
        </w:tc>
        <w:tc>
          <w:tcPr>
            <w:tcW w:w="2520" w:type="dxa"/>
            <w:tcBorders/>
          </w:tcPr>
          <w:p>
            <w:pPr>
              <w:pStyle w:val="Normal"/>
              <w:jc w:val="both"/>
              <w:rPr>
                <w:sz w:val="24"/>
              </w:rPr>
            </w:pPr>
            <w:r>
              <w:rPr>
                <w:sz w:val="24"/>
              </w:rPr>
              <w:t xml:space="preserve">$[207 – 235] </w:t>
              <w:tab/>
              <w:t>million</w:t>
            </w:r>
          </w:p>
        </w:tc>
      </w:tr>
    </w:tbl>
    <w:p>
      <w:pPr>
        <w:pStyle w:val="Normal"/>
        <w:jc w:val="both"/>
        <w:rPr>
          <w:sz w:val="24"/>
          <w:u w:val="single"/>
        </w:rPr>
      </w:pPr>
      <w:r>
        <w:rPr>
          <w:sz w:val="24"/>
          <w:u w:val="single"/>
        </w:rPr>
      </w:r>
    </w:p>
    <w:p>
      <w:pPr>
        <w:pStyle w:val="Normal"/>
        <w:jc w:val="both"/>
        <w:rPr/>
      </w:pPr>
      <w:r>
        <w:rPr>
          <w:sz w:val="24"/>
          <w:u w:val="single"/>
        </w:rPr>
        <w:t>Management Promote</w:t>
      </w:r>
      <w:r>
        <w:rPr>
          <w:sz w:val="24"/>
        </w:rPr>
        <w:t>:  In order to compensate Sort Division Management for originating and closing the Transaction, and to promote improved performance of the Company, selected members of Management will receive shares of Company common stock, up to [5]% of the total common stock value on the closing date, provided, however, such stock shall be restricted for sale for 3 years after receipt and shall vest as follows:  End of year #1, [0]%; end of year #2, [50]%; end of year #3, [100]%.  Notwithstanding the above, Sort Division Management will not receive the stock grants referred to in this paragraph unless the Company's EBITDA has exceeded during the first two years following closing, respectively, [110]% and [115]% of the pro forma benchmark agreed by the Equity Partners.</w:t>
      </w:r>
    </w:p>
    <w:p>
      <w:pPr>
        <w:pStyle w:val="Normal"/>
        <w:jc w:val="both"/>
        <w:rPr>
          <w:sz w:val="24"/>
        </w:rPr>
      </w:pPr>
      <w:r>
        <w:rPr>
          <w:sz w:val="24"/>
        </w:rPr>
      </w:r>
    </w:p>
    <w:p>
      <w:pPr>
        <w:pStyle w:val="Normal"/>
        <w:jc w:val="both"/>
        <w:rPr/>
      </w:pPr>
      <w:r>
        <w:rPr>
          <w:sz w:val="24"/>
          <w:u w:val="single"/>
        </w:rPr>
        <w:t>Loan for Purchase of Shares by Sort Management</w:t>
      </w:r>
      <w:r>
        <w:rPr>
          <w:sz w:val="24"/>
        </w:rPr>
        <w:t>:  Provided Sort Management purchases common stock in the Company of not less than $[8] million, Enron will arrange a credit facility for Sort Management to purchase additional shares in the Company with a face value of not greater than $[5] million.  The loan-to-stock value will not exceed 50% and such loan will be collaterized by a pledge/first lien on the shares purchased.  The loan will mature in [3] years and bear interest at a rate of [    ]% p.a., payable quarterly in arrears.</w:t>
      </w:r>
    </w:p>
    <w:p>
      <w:pPr>
        <w:pStyle w:val="Normal"/>
        <w:jc w:val="both"/>
        <w:rPr>
          <w:sz w:val="24"/>
        </w:rPr>
      </w:pPr>
      <w:r>
        <w:rPr>
          <w:sz w:val="24"/>
        </w:rPr>
      </w:r>
    </w:p>
    <w:p>
      <w:pPr>
        <w:pStyle w:val="Normal"/>
        <w:jc w:val="both"/>
        <w:rPr/>
      </w:pPr>
      <w:r>
        <w:rPr>
          <w:sz w:val="24"/>
          <w:u w:val="single"/>
        </w:rPr>
        <w:t>ENA Convertible Preferred</w:t>
      </w:r>
      <w:r>
        <w:rPr>
          <w:sz w:val="24"/>
        </w:rPr>
        <w:t>:  The ENA Convertible Preferred will be convertible into shares of Sort Management Common Stock starting 2 years after closing and sold at a discount to Sort Management after pre-determined levels of EBITDA are achieved; or convertible at a discount into common stock of the Company by ENA if such objectives are not achieved within specified timeframes.  The ENA Convertible Preferred will pay a dividend of [     ]% and have a liquidation preference to any common stock and have a payment preference over any future preferred stock and all other capital stock.  The ENA Preferred Stock will have conventional change-of-control provisions, optional and mandatory redemption provisions [such as a stated maturity or a redemption provision if not converted by a date certain, or, if not converted by reason of the EBITDA objectives] and other customary terms.</w:t>
      </w:r>
    </w:p>
    <w:p>
      <w:pPr>
        <w:pStyle w:val="Normal"/>
        <w:jc w:val="both"/>
        <w:rPr>
          <w:sz w:val="24"/>
        </w:rPr>
      </w:pPr>
      <w:r>
        <w:rPr>
          <w:sz w:val="24"/>
        </w:rPr>
      </w:r>
    </w:p>
    <w:p>
      <w:pPr>
        <w:pStyle w:val="Normal"/>
        <w:jc w:val="both"/>
        <w:rPr/>
      </w:pPr>
      <w:r>
        <w:rPr>
          <w:sz w:val="24"/>
          <w:u w:val="single"/>
        </w:rPr>
        <w:t>Equity Partner Agreement</w:t>
      </w:r>
      <w:r>
        <w:rPr>
          <w:sz w:val="24"/>
        </w:rPr>
        <w:t>:</w:t>
        <w:tab/>
        <w:t>The Equity Partner Agreement shall contain mutually acceptable representations, warranties, convenants, conditions and indemnification provisions customary for a Transaction of this nature.  Such Agreement shall also set forth registration and tag along rights, information access, dividend policies, anti-dilution rights and voting rights (consistent with respective ownership interests), which shall include unanimous and supermajority approval for certain key decisions.</w:t>
      </w:r>
    </w:p>
    <w:p>
      <w:pPr>
        <w:pStyle w:val="Normal"/>
        <w:jc w:val="both"/>
        <w:rPr>
          <w:sz w:val="24"/>
        </w:rPr>
      </w:pPr>
      <w:r>
        <w:rPr>
          <w:sz w:val="24"/>
        </w:rPr>
      </w:r>
    </w:p>
    <w:p>
      <w:pPr>
        <w:pStyle w:val="Normal"/>
        <w:jc w:val="both"/>
        <w:rPr/>
      </w:pPr>
      <w:r>
        <w:rPr>
          <w:sz w:val="24"/>
          <w:u w:val="single"/>
        </w:rPr>
        <w:t>Sort Management Employment Agreements</w:t>
      </w:r>
      <w:r>
        <w:rPr>
          <w:sz w:val="24"/>
        </w:rPr>
        <w:t>:  Key [specified] members of Sort Management will be subject of [5] year employment contracts with market comparable salaries, bonuses and terms which will specify performance objectives and benefits, including but not limited to stock option grants at strike prices [or warrants to purchase stock at set prices] to be agreed upon which collectively will equal not more than [5] % of Company Common Stock on a fully diluted basis.  Such option grants will not vest for 2 years but thereafter vest at [25]% end of year #3; [50]% end of year #4; and [100]% at end of year #5.</w:t>
      </w:r>
    </w:p>
    <w:p>
      <w:pPr>
        <w:pStyle w:val="Normal"/>
        <w:jc w:val="both"/>
        <w:rPr>
          <w:sz w:val="24"/>
        </w:rPr>
      </w:pPr>
      <w:r>
        <w:rPr>
          <w:sz w:val="24"/>
        </w:rPr>
      </w:r>
    </w:p>
    <w:p>
      <w:pPr>
        <w:pStyle w:val="Normal"/>
        <w:jc w:val="both"/>
        <w:rPr/>
      </w:pPr>
      <w:r>
        <w:rPr>
          <w:sz w:val="24"/>
          <w:u w:val="single"/>
        </w:rPr>
        <w:t>Structuring/Commitment Fee</w:t>
      </w:r>
      <w:r>
        <w:rPr>
          <w:sz w:val="24"/>
        </w:rPr>
        <w:t>:  A structuring and commitment fee equal to [5]% of ENA's capital commitment shall be paid to ENA Securities Limited Partnership on the Closing Date.</w:t>
      </w:r>
    </w:p>
    <w:p>
      <w:pPr>
        <w:pStyle w:val="Normal"/>
        <w:jc w:val="both"/>
        <w:rPr>
          <w:sz w:val="24"/>
        </w:rPr>
      </w:pPr>
      <w:r>
        <w:rPr>
          <w:sz w:val="24"/>
        </w:rPr>
      </w:r>
    </w:p>
    <w:p>
      <w:pPr>
        <w:pStyle w:val="Normal"/>
        <w:jc w:val="both"/>
        <w:rPr/>
      </w:pPr>
      <w:r>
        <w:rPr>
          <w:sz w:val="24"/>
          <w:u w:val="single"/>
        </w:rPr>
        <w:t>Operating Agreement</w:t>
      </w:r>
      <w:r>
        <w:rPr>
          <w:sz w:val="24"/>
        </w:rPr>
        <w:t>:  Sort Management will have the exclusive right to operate the Company on specified terms and conditions including performance bonuses and penalties acceptable to Equity Partners.  The Equity Partners will have the right to replace Sort Management in the event of substandard performance or inability to perform.  Pre-closing, detailed operating plans and budgets will be agreed to determine performance benchmarks.</w:t>
      </w:r>
    </w:p>
    <w:p>
      <w:pPr>
        <w:pStyle w:val="Normal"/>
        <w:jc w:val="both"/>
        <w:rPr>
          <w:sz w:val="24"/>
        </w:rPr>
      </w:pPr>
      <w:r>
        <w:rPr>
          <w:sz w:val="24"/>
        </w:rPr>
      </w:r>
    </w:p>
    <w:p>
      <w:pPr>
        <w:pStyle w:val="Normal"/>
        <w:jc w:val="both"/>
        <w:rPr/>
      </w:pPr>
      <w:r>
        <w:rPr>
          <w:sz w:val="24"/>
          <w:u w:val="single"/>
        </w:rPr>
        <w:t>Risk Management</w:t>
      </w:r>
      <w:r>
        <w:rPr>
          <w:sz w:val="24"/>
        </w:rPr>
        <w:t>:  ENA shall have the exclusive right to provide commodity risk management services to the Company, or serve as advisor to Sort for such services on terms and conditions acceptable to Sort and ENA.</w:t>
      </w:r>
    </w:p>
    <w:p>
      <w:pPr>
        <w:pStyle w:val="Normal"/>
        <w:jc w:val="both"/>
        <w:rPr>
          <w:sz w:val="24"/>
        </w:rPr>
      </w:pPr>
      <w:r>
        <w:rPr>
          <w:sz w:val="24"/>
        </w:rPr>
      </w:r>
    </w:p>
    <w:p>
      <w:pPr>
        <w:pStyle w:val="Normal"/>
        <w:jc w:val="both"/>
        <w:rPr/>
      </w:pPr>
      <w:r>
        <w:rPr>
          <w:sz w:val="24"/>
          <w:u w:val="single"/>
        </w:rPr>
        <w:t>Purchase Agreement</w:t>
      </w:r>
      <w:r>
        <w:rPr>
          <w:sz w:val="24"/>
        </w:rPr>
        <w:t>:  ENA reserves the right to purchase, on a right of first refusal basis, all or some of the Company's products and commodities on terms and conditions to be agreed upon.</w:t>
      </w:r>
    </w:p>
    <w:p>
      <w:pPr>
        <w:pStyle w:val="Normal"/>
        <w:jc w:val="both"/>
        <w:rPr>
          <w:sz w:val="24"/>
        </w:rPr>
      </w:pPr>
      <w:r>
        <w:rPr>
          <w:sz w:val="24"/>
        </w:rPr>
      </w:r>
    </w:p>
    <w:p>
      <w:pPr>
        <w:pStyle w:val="Normal"/>
        <w:jc w:val="both"/>
        <w:rPr/>
      </w:pPr>
      <w:r>
        <w:rPr>
          <w:sz w:val="24"/>
          <w:u w:val="single"/>
        </w:rPr>
        <w:t>Debt and Equity Arrangement</w:t>
      </w:r>
      <w:r>
        <w:rPr>
          <w:sz w:val="24"/>
        </w:rPr>
        <w:t>:  ENA or its affiliates shall serve as advisor and arranger (but not underwriter) of the debt and the balance of any equity required to capitalize the Company.  In addition to the debt and equity referred to in the above Sources and Uses of Funds, it is anticipated the Company will need to be capitalized with a separate working capital facility of about $[25] million.  Terms, conditions, types and sources of debt and equity shall be acceptable to the Equity Partners.  In consideration for providing these services, ENA shall be paid a fee equal to [   ]% of the capital raised.  Institutions subscribing debt and equity may require payment of their own fees and expenses which will be separate from the fee paid to ENA.  ENA will perform its services pursuant to an engagement letter which shall include customary indemnities for expenses and other liabilities.</w:t>
      </w:r>
    </w:p>
    <w:p>
      <w:pPr>
        <w:pStyle w:val="Normal"/>
        <w:jc w:val="both"/>
        <w:rPr>
          <w:sz w:val="24"/>
        </w:rPr>
      </w:pPr>
      <w:r>
        <w:rPr>
          <w:sz w:val="24"/>
        </w:rPr>
      </w:r>
    </w:p>
    <w:p>
      <w:pPr>
        <w:pStyle w:val="Normal"/>
        <w:jc w:val="both"/>
        <w:rPr/>
      </w:pPr>
      <w:r>
        <w:rPr>
          <w:sz w:val="24"/>
          <w:u w:val="single"/>
        </w:rPr>
        <w:t>Exclusivity</w:t>
      </w:r>
      <w:r>
        <w:rPr>
          <w:sz w:val="24"/>
        </w:rPr>
        <w:t>:  Sort and Parent will agree to work exclusively with ENA with respect to the Transaction until November [   ], 1999.  Prior to such date, except with ENA's approval, Sort and Parent shall not negotiate with or solicit investments or indications of interest from any third party with respect to the Transaction or any alternative transaction that would preempt or preclude the Transaction.</w:t>
      </w:r>
    </w:p>
    <w:p>
      <w:pPr>
        <w:pStyle w:val="Normal"/>
        <w:jc w:val="both"/>
        <w:rPr>
          <w:sz w:val="24"/>
        </w:rPr>
      </w:pPr>
      <w:r>
        <w:rPr>
          <w:sz w:val="24"/>
        </w:rPr>
      </w:r>
    </w:p>
    <w:p>
      <w:pPr>
        <w:pStyle w:val="Normal"/>
        <w:jc w:val="both"/>
        <w:rPr/>
      </w:pPr>
      <w:r>
        <w:rPr>
          <w:sz w:val="24"/>
          <w:u w:val="single"/>
        </w:rPr>
        <w:t>Parent Agreement</w:t>
      </w:r>
      <w:r>
        <w:rPr>
          <w:sz w:val="24"/>
        </w:rPr>
        <w:t>:  SPV and Parent shall enter into a [20] year agreement for Parent to supply, on a put-or-pay basis, SPV with Parent's recyclable commodities.  Such agreement will specify commodity quantities [and locations] and provide for specific pricing arrangements as well as remedies and damages in the event of non-performance.</w:t>
      </w:r>
    </w:p>
    <w:p>
      <w:pPr>
        <w:pStyle w:val="Normal"/>
        <w:jc w:val="both"/>
        <w:rPr>
          <w:sz w:val="24"/>
          <w:u w:val="single"/>
        </w:rPr>
      </w:pPr>
      <w:r>
        <w:rPr>
          <w:sz w:val="24"/>
          <w:u w:val="single"/>
        </w:rPr>
      </w:r>
    </w:p>
    <w:p>
      <w:pPr>
        <w:pStyle w:val="Normal"/>
        <w:jc w:val="both"/>
        <w:rPr/>
      </w:pPr>
      <w:r>
        <w:rPr>
          <w:sz w:val="24"/>
          <w:u w:val="single"/>
        </w:rPr>
        <w:t>Conditions Precedent to Closing</w:t>
      </w:r>
      <w:r>
        <w:rPr>
          <w:sz w:val="24"/>
        </w:rPr>
        <w:t>: Traditional conditions precedent to closing a Transaction of this nature are envisioned, including but not limited to: legal, technical and environmental due diligence of properties, books, records and contracts; receipt of requisite governmental, regulatory and third party consents;  negotiation of acceptable documentation ("Definitive Agreements"); establishment of operating plans; expense and representation indemnities; access to all pertinent records, properties and personnel; management and board approvals.</w:t>
      </w:r>
    </w:p>
    <w:p>
      <w:pPr>
        <w:pStyle w:val="Normal"/>
        <w:jc w:val="both"/>
        <w:rPr>
          <w:sz w:val="24"/>
          <w:u w:val="single"/>
        </w:rPr>
      </w:pPr>
      <w:r>
        <w:rPr>
          <w:sz w:val="24"/>
          <w:u w:val="single"/>
        </w:rPr>
      </w:r>
    </w:p>
    <w:p>
      <w:pPr>
        <w:pStyle w:val="Normal"/>
        <w:jc w:val="both"/>
        <w:rPr/>
      </w:pPr>
      <w:r>
        <w:rPr>
          <w:sz w:val="24"/>
          <w:u w:val="single"/>
        </w:rPr>
        <w:t>Closing Date</w:t>
      </w:r>
      <w:r>
        <w:rPr>
          <w:sz w:val="24"/>
        </w:rPr>
        <w:t>:  The date of execution of Definitive Agreements committing to provide the capital structure shown above, to acquire Sort, but in no event later than [          ], 1999.</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b/>
          <w:i/>
          <w:i/>
          <w:sz w:val="18"/>
        </w:rPr>
      </w:pPr>
      <w:r>
        <w:rPr>
          <w:b/>
          <w:i/>
          <w:sz w:val="18"/>
        </w:rPr>
        <w:t>Any Transaction is conditioned upon results of a due diligence review.  No due diligence has been conducted by ENA, its affiliates or representatives.  The figures shown and concepts discussed above are purely for illustrative purposes and subject to change based upon further review and due diligence, movements in forward commodity prices and interest rates, as well as enterprise valuations of the underlying business.  This draft does not create and is not intended to create a binding and enforceable contract or commitment, and may not be relied upon by either party as the basis for a contract by estoppel or otherwise.</w:t>
      </w:r>
    </w:p>
    <w:sectPr>
      <w:headerReference w:type="default" r:id="rId6"/>
      <w:headerReference w:type="first" r:id="rId7"/>
      <w:footerReference w:type="default" r:id="rId8"/>
      <w:footerReference w:type="first" r:id="rId9"/>
      <w:footnotePr>
        <w:numFmt w:val="decimal"/>
      </w:footnotePr>
      <w:type w:val="nextPage"/>
      <w:pgSz w:w="12240" w:h="15840"/>
      <w:pgMar w:left="1800" w:right="1440" w:gutter="0" w:header="72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22.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t></w:t>
      </w:r>
      <w:r>
        <w:rPr/>
        <w:t xml:space="preserve"> </w:t>
      </w:r>
      <w:r>
        <w:rPr/>
        <w:t>Does not include shares which may be owned by way of the "Management Promote".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sz w:val="24"/>
        <w:u w:val="single"/>
      </w:rPr>
    </w:pPr>
    <w:r>
      <w:rPr>
        <w:b/>
        <w:i/>
        <w:sz w:val="24"/>
        <w:u w:val="single"/>
      </w:rPr>
      <w:t>CONFIDENTIAL</w:t>
    </w:r>
  </w:p>
  <w:p>
    <w:pPr>
      <w:pStyle w:val="Header"/>
      <w:jc w:val="end"/>
      <w:rPr>
        <w:b/>
        <w:i/>
        <w:i/>
        <w:sz w:val="24"/>
        <w:u w:val="single"/>
      </w:rPr>
    </w:pPr>
    <w:r>
      <w:rPr>
        <w:b/>
        <w:i/>
        <w:sz w:val="24"/>
        <w:u w:val="single"/>
      </w:rPr>
    </w:r>
  </w:p>
  <w:p>
    <w:pPr>
      <w:pStyle w:val="Normal"/>
      <w:jc w:val="center"/>
      <w:rPr>
        <w:b/>
        <w:sz w:val="24"/>
        <w:u w:val="single"/>
      </w:rPr>
    </w:pPr>
    <w:r>
      <w:rPr>
        <w:b/>
        <w:sz w:val="24"/>
        <w:u w:val="single"/>
      </w:rPr>
      <w:t>Preliminary Draft Outline – For Discussion Purposes Only</w:t>
    </w:r>
  </w:p>
  <w:p>
    <w:pPr>
      <w:pStyle w:val="Header"/>
      <w:jc w:val="end"/>
      <w:rPr>
        <w:b/>
        <w:sz w:val="24"/>
        <w:u w:val="single"/>
      </w:rPr>
    </w:pPr>
    <w:r>
      <w:rPr>
        <w:b/>
        <w:sz w:val="24"/>
        <w:u w:val="singl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sz w:val="24"/>
        <w:u w:val="single"/>
      </w:rPr>
    </w:pPr>
    <w:r>
      <w:rPr>
        <w:b/>
        <w:i/>
        <w:sz w:val="24"/>
        <w:u w:val="single"/>
      </w:rPr>
      <w:t>CONFIDENTIAL</w:t>
    </w:r>
  </w:p>
  <w:p>
    <w:pPr>
      <w:pStyle w:val="Header"/>
      <w:jc w:val="end"/>
      <w:rPr>
        <w:b/>
        <w:i/>
        <w:i/>
        <w:sz w:val="24"/>
        <w:u w:val="single"/>
      </w:rPr>
    </w:pPr>
    <w:r>
      <w:rPr>
        <w:b/>
        <w:i/>
        <w:sz w:val="24"/>
        <w:u w:val="single"/>
      </w:rPr>
    </w:r>
  </w:p>
  <w:p>
    <w:pPr>
      <w:pStyle w:val="Normal"/>
      <w:jc w:val="center"/>
      <w:rPr>
        <w:b/>
        <w:sz w:val="24"/>
        <w:u w:val="single"/>
      </w:rPr>
    </w:pPr>
    <w:r>
      <w:rPr>
        <w:b/>
        <w:sz w:val="24"/>
        <w:u w:val="single"/>
      </w:rPr>
      <w:t>Preliminary Draft Outline – For Discussion Purposes Only</w:t>
    </w:r>
  </w:p>
  <w:p>
    <w:pPr>
      <w:pStyle w:val="Header"/>
      <w:jc w:val="end"/>
      <w:rPr>
        <w:b/>
        <w:sz w:val="24"/>
        <w:u w:val="single"/>
      </w:rPr>
    </w:pPr>
    <w:r>
      <w:rPr>
        <w:b/>
        <w:sz w:val="24"/>
        <w:u w:val="single"/>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648"/>
        </w:tabs>
        <w:ind w:start="648" w:hanging="360"/>
      </w:pPr>
      <w:rPr>
        <w:rFonts w:ascii="Symbol" w:hAnsi="Symbol" w:cs="Symbol" w:hint="default"/>
      </w:rPr>
    </w:lvl>
  </w:abstractNum>
  <w:abstractNum w:abstractNumId="2">
    <w:lvl w:ilvl="0">
      <w:start w:val="1"/>
      <w:numFmt w:val="bullet"/>
      <w:lvlText w:val=""/>
      <w:lvlJc w:val="start"/>
      <w:pPr>
        <w:tabs>
          <w:tab w:val="num" w:pos="648"/>
        </w:tabs>
        <w:ind w:start="648" w:hanging="360"/>
      </w:pPr>
      <w:rPr>
        <w:rFonts w:ascii="Symbol" w:hAnsi="Symbol" w:cs="Symbol" w:hint="default"/>
      </w:rPr>
    </w:lvl>
  </w:abstractNum>
  <w:abstractNum w:abstractNumId="3">
    <w:lvl w:ilvl="0">
      <w:start w:val="1"/>
      <w:numFmt w:val="bullet"/>
      <w:lvlText w:val=""/>
      <w:lvlJc w:val="start"/>
      <w:pPr>
        <w:tabs>
          <w:tab w:val="num" w:pos="648"/>
        </w:tabs>
        <w:ind w:start="648" w:hanging="360"/>
      </w:pPr>
      <w:rPr>
        <w:rFonts w:ascii="Symbol" w:hAnsi="Symbol" w:cs="Symbol" w:hint="default"/>
      </w:rPr>
    </w:lvl>
  </w:abstractNum>
  <w:abstractNum w:abstractNumId="4">
    <w:lvl w:ilvl="0">
      <w:start w:val="1"/>
      <w:numFmt w:val="bullet"/>
      <w:lvlText w:val=""/>
      <w:lvlJc w:val="start"/>
      <w:pPr>
        <w:tabs>
          <w:tab w:val="num" w:pos="648"/>
        </w:tabs>
        <w:ind w:start="648" w:hanging="360"/>
      </w:pPr>
      <w:rPr>
        <w:rFonts w:ascii="Symbol" w:hAnsi="Symbol" w:cs="Symbol" w:hint="default"/>
      </w:rPr>
    </w:lvl>
  </w:abstractNum>
  <w:abstractNum w:abstractNumId="5">
    <w:lvl w:ilvl="0">
      <w:start w:val="1"/>
      <w:numFmt w:val="bullet"/>
      <w:lvlText w:val=""/>
      <w:lvlJc w:val="start"/>
      <w:pPr>
        <w:tabs>
          <w:tab w:val="num" w:pos="648"/>
        </w:tabs>
        <w:ind w:start="648" w:hanging="360"/>
      </w:pPr>
      <w:rPr>
        <w:rFonts w:ascii="Symbol" w:hAnsi="Symbol" w:cs="Symbol" w:hint="default"/>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ajello-letterhead2.dot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1999-09-08T14:30:00Z</dcterms:created>
  <dc:creator>M. Terrellyn Parker</dc:creator>
  <dc:description/>
  <dc:language>en-CA</dc:language>
  <cp:lastModifiedBy>M. Terrellyn Parker</cp:lastModifiedBy>
  <cp:lastPrinted>1999-09-08T11:59:00Z</cp:lastPrinted>
  <dcterms:modified xsi:type="dcterms:W3CDTF">1999-09-08T14:30:00Z</dcterms:modified>
  <cp:revision>2</cp:revision>
  <dc:subject/>
  <dc:title> </dc:title>
</cp:coreProperties>
</file>