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This document outlines a contemplated transaction to use State of Connecticut funds to develop fuel cell farms to meet the state’s “green” power initiatives.  This transaction proposes that Connecticut Resources Recovery Authority (CRRA), a government authority, will own these fuel cell farms that Enron develops using money from a state energy conservation fund and equipment purchased from FuelCell Energy and/or ONSI.</w:t>
      </w:r>
    </w:p>
    <w:p>
      <w:pPr>
        <w:pStyle w:val="Normal"/>
        <w:rPr>
          <w:sz w:val="22"/>
          <w:szCs w:val="22"/>
        </w:rPr>
      </w:pPr>
      <w:r>
        <w:rPr>
          <w:sz w:val="22"/>
          <w:szCs w:val="22"/>
        </w:rPr>
      </w:r>
    </w:p>
    <w:p>
      <w:pPr>
        <w:pStyle w:val="BodyText"/>
        <w:jc w:val="both"/>
        <w:rPr>
          <w:b/>
          <w:bCs/>
          <w:u w:val="single"/>
        </w:rPr>
      </w:pPr>
      <w:r>
        <w:rPr>
          <w:b/>
          <w:bCs/>
          <w:u w:val="single"/>
        </w:rPr>
        <w:t>Plan Benefits</w:t>
      </w:r>
    </w:p>
    <w:p>
      <w:pPr>
        <w:pStyle w:val="BodyText"/>
        <w:jc w:val="both"/>
        <w:rPr>
          <w:b/>
          <w:bCs/>
          <w:u w:val="single"/>
        </w:rPr>
      </w:pPr>
      <w:r>
        <w:rPr>
          <w:b/>
          <w:bCs/>
          <w:u w:val="single"/>
        </w:rPr>
      </w:r>
    </w:p>
    <w:p>
      <w:pPr>
        <w:pStyle w:val="BodyText"/>
        <w:jc w:val="both"/>
        <w:rPr/>
      </w:pPr>
      <w:r>
        <w:rPr/>
        <w:t>The Connecticut legislature mandated the use of green power resources and set up a mechanism to collect funds to be dedicated to developing green power technologies.  ENA’s plan fulfills this legislative requirement and offers the most benefits to the citizens of Connecticut.  ENA’s plan:</w:t>
      </w:r>
    </w:p>
    <w:p>
      <w:pPr>
        <w:pStyle w:val="BodyText"/>
        <w:jc w:val="both"/>
        <w:rPr/>
      </w:pPr>
      <w:r>
        <w:rPr/>
      </w:r>
    </w:p>
    <w:p>
      <w:pPr>
        <w:pStyle w:val="BodyText"/>
        <w:numPr>
          <w:ilvl w:val="0"/>
          <w:numId w:val="2"/>
        </w:numPr>
        <w:tabs>
          <w:tab w:val="clear" w:pos="720"/>
          <w:tab w:val="left" w:pos="0" w:leader="none"/>
        </w:tabs>
        <w:spacing w:before="60" w:after="60"/>
        <w:ind w:hanging="720" w:start="720" w:end="0"/>
        <w:jc w:val="both"/>
        <w:rPr/>
      </w:pPr>
      <w:r>
        <w:rPr/>
        <w:t xml:space="preserve">Opens the retail power market to competitive suppliers who otherwise could not pursue Connecticut retail customers because of the portfolio requirements, that may result in lower rates for ratepayers.  </w:t>
      </w:r>
    </w:p>
    <w:p>
      <w:pPr>
        <w:pStyle w:val="BodyText"/>
        <w:numPr>
          <w:ilvl w:val="0"/>
          <w:numId w:val="2"/>
        </w:numPr>
        <w:tabs>
          <w:tab w:val="clear" w:pos="720"/>
          <w:tab w:val="left" w:pos="0" w:leader="none"/>
        </w:tabs>
        <w:spacing w:before="60" w:after="60"/>
        <w:ind w:hanging="720" w:start="720" w:end="0"/>
        <w:jc w:val="both"/>
        <w:rPr/>
      </w:pPr>
      <w:r>
        <w:rPr/>
        <w:t>Meets the legislated green power resource requirement which is in danger of being pushed out to later years if this project is not pursued.</w:t>
      </w:r>
    </w:p>
    <w:p>
      <w:pPr>
        <w:pStyle w:val="BodyText"/>
        <w:numPr>
          <w:ilvl w:val="0"/>
          <w:numId w:val="2"/>
        </w:numPr>
        <w:tabs>
          <w:tab w:val="clear" w:pos="720"/>
          <w:tab w:val="left" w:pos="0" w:leader="none"/>
        </w:tabs>
        <w:spacing w:before="60" w:after="60"/>
        <w:ind w:hanging="720" w:start="720" w:end="0"/>
        <w:jc w:val="both"/>
        <w:rPr/>
      </w:pPr>
      <w:r>
        <w:rPr/>
        <w:t>Finds an alternative use for renewable and/or conservation funds now being spent on efficient lighting and consumer awareness brochures.</w:t>
      </w:r>
    </w:p>
    <w:p>
      <w:pPr>
        <w:pStyle w:val="BodyText"/>
        <w:numPr>
          <w:ilvl w:val="0"/>
          <w:numId w:val="2"/>
        </w:numPr>
        <w:tabs>
          <w:tab w:val="clear" w:pos="720"/>
          <w:tab w:val="left" w:pos="0" w:leader="none"/>
        </w:tabs>
        <w:spacing w:before="60" w:after="60"/>
        <w:ind w:hanging="720" w:start="720" w:end="0"/>
        <w:jc w:val="both"/>
        <w:rPr/>
      </w:pPr>
      <w:r>
        <w:rPr/>
        <w:t>Kick starts the commercialization of fuel cells by providing a large production order that will encourage efficiencies in manufacturing by FCEL and/or ONSI, resulting in lower cost of fuel cells in the future.</w:t>
      </w:r>
    </w:p>
    <w:p>
      <w:pPr>
        <w:pStyle w:val="BodyText"/>
        <w:numPr>
          <w:ilvl w:val="0"/>
          <w:numId w:val="2"/>
        </w:numPr>
        <w:tabs>
          <w:tab w:val="clear" w:pos="720"/>
          <w:tab w:val="left" w:pos="0" w:leader="none"/>
        </w:tabs>
        <w:spacing w:before="60" w:after="60"/>
        <w:ind w:hanging="720" w:start="720" w:end="0"/>
        <w:jc w:val="both"/>
        <w:rPr/>
      </w:pPr>
      <w:r>
        <w:rPr/>
        <w:t>Creates jobs within Connecticut as fuel cell companies grow to keep pace with this expanding market share on the wholesale and distributed generation business.</w:t>
      </w:r>
    </w:p>
    <w:p>
      <w:pPr>
        <w:pStyle w:val="BodyText"/>
        <w:numPr>
          <w:ilvl w:val="0"/>
          <w:numId w:val="2"/>
        </w:numPr>
        <w:tabs>
          <w:tab w:val="clear" w:pos="720"/>
          <w:tab w:val="left" w:pos="0" w:leader="none"/>
        </w:tabs>
        <w:spacing w:before="60" w:after="60"/>
        <w:ind w:hanging="720" w:start="720" w:end="0"/>
        <w:jc w:val="both"/>
        <w:rPr/>
      </w:pPr>
      <w:r>
        <w:rPr/>
        <w:t>Promotes viable green power technologies, resulting in a cleaner environment.</w:t>
      </w:r>
    </w:p>
    <w:p>
      <w:pPr>
        <w:pStyle w:val="BodyText"/>
        <w:numPr>
          <w:ilvl w:val="0"/>
          <w:numId w:val="2"/>
        </w:numPr>
        <w:tabs>
          <w:tab w:val="clear" w:pos="720"/>
          <w:tab w:val="left" w:pos="0" w:leader="none"/>
        </w:tabs>
        <w:spacing w:before="60" w:after="60"/>
        <w:ind w:hanging="720" w:start="720" w:end="0"/>
        <w:jc w:val="both"/>
        <w:rPr/>
      </w:pPr>
      <w:r>
        <w:rPr/>
        <w:t>Identifies Connecticut as the “Fuel Cell Capital” as the OEMs reach the market faster and on a grander scale than other non-Connecticut companies.</w:t>
      </w:r>
    </w:p>
    <w:p>
      <w:pPr>
        <w:pStyle w:val="BodyText"/>
        <w:numPr>
          <w:ilvl w:val="0"/>
          <w:numId w:val="2"/>
        </w:numPr>
        <w:tabs>
          <w:tab w:val="clear" w:pos="720"/>
          <w:tab w:val="left" w:pos="0" w:leader="none"/>
        </w:tabs>
        <w:spacing w:before="60" w:after="60"/>
        <w:ind w:hanging="360" w:start="720" w:end="0"/>
        <w:jc w:val="both"/>
        <w:rPr/>
      </w:pPr>
      <w:r>
        <w:rPr/>
        <w:t>Finally, as one of the first states in the U.S. to deregulate its power industry and to require green power resources, Connecticut stands to serve as a benchmark for deregulation and green power initiatives throughout the county.</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pPr>
      <w:r>
        <w:rPr/>
        <w:t>During the course of developing this transaction, the Enron commercial team has met with numerous organizations and individuals to solicit commercial and economic support.  These organizations and individuals include:</w:t>
      </w:r>
    </w:p>
    <w:tbl>
      <w:tblPr>
        <w:tblW w:w="6480" w:type="dxa"/>
        <w:jc w:val="start"/>
        <w:tblInd w:w="0" w:type="dxa"/>
        <w:tblLayout w:type="fixed"/>
        <w:tblCellMar>
          <w:top w:w="0" w:type="dxa"/>
          <w:start w:w="108" w:type="dxa"/>
          <w:bottom w:w="0" w:type="dxa"/>
          <w:end w:w="108" w:type="dxa"/>
        </w:tblCellMar>
      </w:tblPr>
      <w:tblGrid>
        <w:gridCol w:w="4608"/>
        <w:gridCol w:w="1872"/>
      </w:tblGrid>
      <w:tr>
        <w:trPr/>
        <w:tc>
          <w:tcPr>
            <w:tcW w:w="4608" w:type="dxa"/>
            <w:tcBorders/>
          </w:tcPr>
          <w:p>
            <w:pPr>
              <w:pStyle w:val="Normal"/>
              <w:snapToGrid w:val="false"/>
              <w:jc w:val="center"/>
              <w:rPr>
                <w:b/>
                <w:bCs/>
                <w:sz w:val="22"/>
                <w:szCs w:val="22"/>
              </w:rPr>
            </w:pPr>
            <w:r>
              <w:rPr>
                <w:b/>
                <w:bCs/>
                <w:sz w:val="22"/>
                <w:szCs w:val="22"/>
              </w:rPr>
            </w:r>
          </w:p>
        </w:tc>
        <w:tc>
          <w:tcPr>
            <w:tcW w:w="1872" w:type="dxa"/>
            <w:tcBorders/>
          </w:tcPr>
          <w:p>
            <w:pPr>
              <w:pStyle w:val="Normal"/>
              <w:pBdr>
                <w:bottom w:val="single" w:sz="6" w:space="1" w:color="000000"/>
              </w:pBdr>
              <w:jc w:val="center"/>
              <w:rPr>
                <w:b/>
                <w:bCs/>
                <w:sz w:val="22"/>
                <w:szCs w:val="22"/>
              </w:rPr>
            </w:pPr>
            <w:r>
              <w:rPr>
                <w:b/>
                <w:bCs/>
                <w:sz w:val="22"/>
                <w:szCs w:val="22"/>
              </w:rPr>
              <w:t>Date of First Meeting</w:t>
            </w:r>
          </w:p>
        </w:tc>
      </w:tr>
      <w:tr>
        <w:trPr/>
        <w:tc>
          <w:tcPr>
            <w:tcW w:w="4608" w:type="dxa"/>
            <w:tcBorders/>
          </w:tcPr>
          <w:p>
            <w:pPr>
              <w:pStyle w:val="Normal"/>
              <w:rPr>
                <w:sz w:val="22"/>
                <w:szCs w:val="22"/>
              </w:rPr>
            </w:pPr>
            <w:r>
              <w:rPr>
                <w:sz w:val="22"/>
                <w:szCs w:val="22"/>
              </w:rPr>
              <w:t>Connecticut Innovations Inc.</w:t>
            </w:r>
          </w:p>
        </w:tc>
        <w:tc>
          <w:tcPr>
            <w:tcW w:w="1872" w:type="dxa"/>
            <w:tcBorders/>
          </w:tcPr>
          <w:p>
            <w:pPr>
              <w:pStyle w:val="Normal"/>
              <w:rPr>
                <w:sz w:val="22"/>
                <w:szCs w:val="22"/>
              </w:rPr>
            </w:pPr>
            <w:r>
              <w:rPr>
                <w:sz w:val="22"/>
                <w:szCs w:val="22"/>
              </w:rPr>
              <w:t>March 9, 2000</w:t>
            </w:r>
          </w:p>
        </w:tc>
      </w:tr>
      <w:tr>
        <w:trPr/>
        <w:tc>
          <w:tcPr>
            <w:tcW w:w="4608" w:type="dxa"/>
            <w:tcBorders/>
          </w:tcPr>
          <w:p>
            <w:pPr>
              <w:pStyle w:val="Normal"/>
              <w:rPr>
                <w:sz w:val="22"/>
                <w:szCs w:val="22"/>
              </w:rPr>
            </w:pPr>
            <w:r>
              <w:rPr>
                <w:sz w:val="22"/>
                <w:szCs w:val="22"/>
              </w:rPr>
              <w:t>IFC/ONSI</w:t>
            </w:r>
          </w:p>
        </w:tc>
        <w:tc>
          <w:tcPr>
            <w:tcW w:w="1872" w:type="dxa"/>
            <w:tcBorders/>
          </w:tcPr>
          <w:p>
            <w:pPr>
              <w:pStyle w:val="Normal"/>
              <w:rPr>
                <w:sz w:val="22"/>
                <w:szCs w:val="22"/>
              </w:rPr>
            </w:pPr>
            <w:r>
              <w:rPr>
                <w:sz w:val="22"/>
                <w:szCs w:val="22"/>
              </w:rPr>
              <w:t>March 9, 2000</w:t>
            </w:r>
          </w:p>
        </w:tc>
      </w:tr>
      <w:tr>
        <w:trPr/>
        <w:tc>
          <w:tcPr>
            <w:tcW w:w="4608" w:type="dxa"/>
            <w:tcBorders/>
          </w:tcPr>
          <w:p>
            <w:pPr>
              <w:pStyle w:val="Normal"/>
              <w:rPr>
                <w:sz w:val="22"/>
                <w:szCs w:val="22"/>
              </w:rPr>
            </w:pPr>
            <w:r>
              <w:rPr>
                <w:sz w:val="22"/>
                <w:szCs w:val="22"/>
              </w:rPr>
              <w:t>FuelCell Energy, Inc.</w:t>
            </w:r>
          </w:p>
        </w:tc>
        <w:tc>
          <w:tcPr>
            <w:tcW w:w="1872" w:type="dxa"/>
            <w:tcBorders/>
          </w:tcPr>
          <w:p>
            <w:pPr>
              <w:pStyle w:val="Normal"/>
              <w:rPr>
                <w:sz w:val="22"/>
                <w:szCs w:val="22"/>
              </w:rPr>
            </w:pPr>
            <w:r>
              <w:rPr>
                <w:sz w:val="22"/>
                <w:szCs w:val="22"/>
              </w:rPr>
              <w:t>March 16, 2000</w:t>
            </w:r>
          </w:p>
        </w:tc>
      </w:tr>
      <w:tr>
        <w:trPr/>
        <w:tc>
          <w:tcPr>
            <w:tcW w:w="4608" w:type="dxa"/>
            <w:tcBorders/>
          </w:tcPr>
          <w:p>
            <w:pPr>
              <w:pStyle w:val="Normal"/>
              <w:rPr>
                <w:sz w:val="22"/>
                <w:szCs w:val="22"/>
              </w:rPr>
            </w:pPr>
            <w:r>
              <w:rPr>
                <w:sz w:val="22"/>
                <w:szCs w:val="22"/>
              </w:rPr>
              <w:t>Congressman John Larson</w:t>
            </w:r>
          </w:p>
        </w:tc>
        <w:tc>
          <w:tcPr>
            <w:tcW w:w="1872" w:type="dxa"/>
            <w:tcBorders/>
          </w:tcPr>
          <w:p>
            <w:pPr>
              <w:pStyle w:val="Normal"/>
              <w:rPr>
                <w:sz w:val="22"/>
                <w:szCs w:val="22"/>
              </w:rPr>
            </w:pPr>
            <w:r>
              <w:rPr>
                <w:sz w:val="22"/>
                <w:szCs w:val="22"/>
              </w:rPr>
              <w:t>March 22, 2000</w:t>
            </w:r>
          </w:p>
        </w:tc>
      </w:tr>
      <w:tr>
        <w:trPr/>
        <w:tc>
          <w:tcPr>
            <w:tcW w:w="4608" w:type="dxa"/>
            <w:tcBorders/>
          </w:tcPr>
          <w:p>
            <w:pPr>
              <w:pStyle w:val="Normal"/>
              <w:rPr>
                <w:sz w:val="22"/>
                <w:szCs w:val="22"/>
              </w:rPr>
            </w:pPr>
            <w:r>
              <w:rPr>
                <w:sz w:val="22"/>
                <w:szCs w:val="22"/>
              </w:rPr>
              <w:t>CT Dept. of Public Utility Control</w:t>
            </w:r>
          </w:p>
        </w:tc>
        <w:tc>
          <w:tcPr>
            <w:tcW w:w="1872" w:type="dxa"/>
            <w:tcBorders/>
          </w:tcPr>
          <w:p>
            <w:pPr>
              <w:pStyle w:val="Normal"/>
              <w:rPr>
                <w:sz w:val="22"/>
                <w:szCs w:val="22"/>
              </w:rPr>
            </w:pPr>
            <w:r>
              <w:rPr>
                <w:sz w:val="22"/>
                <w:szCs w:val="22"/>
              </w:rPr>
              <w:t>April 12, 2000</w:t>
            </w:r>
          </w:p>
        </w:tc>
      </w:tr>
      <w:tr>
        <w:trPr/>
        <w:tc>
          <w:tcPr>
            <w:tcW w:w="4608" w:type="dxa"/>
            <w:tcBorders/>
          </w:tcPr>
          <w:p>
            <w:pPr>
              <w:pStyle w:val="Normal"/>
              <w:rPr>
                <w:sz w:val="22"/>
                <w:szCs w:val="22"/>
              </w:rPr>
            </w:pPr>
            <w:r>
              <w:rPr>
                <w:sz w:val="22"/>
                <w:szCs w:val="22"/>
              </w:rPr>
              <w:t>State Representative Jessie Stratton</w:t>
            </w:r>
          </w:p>
        </w:tc>
        <w:tc>
          <w:tcPr>
            <w:tcW w:w="1872" w:type="dxa"/>
            <w:tcBorders/>
          </w:tcPr>
          <w:p>
            <w:pPr>
              <w:pStyle w:val="Normal"/>
              <w:rPr>
                <w:sz w:val="22"/>
                <w:szCs w:val="22"/>
              </w:rPr>
            </w:pPr>
            <w:r>
              <w:rPr>
                <w:sz w:val="22"/>
                <w:szCs w:val="22"/>
              </w:rPr>
              <w:t>April 12, 2000</w:t>
            </w:r>
          </w:p>
        </w:tc>
      </w:tr>
      <w:tr>
        <w:trPr/>
        <w:tc>
          <w:tcPr>
            <w:tcW w:w="4608" w:type="dxa"/>
            <w:tcBorders/>
          </w:tcPr>
          <w:p>
            <w:pPr>
              <w:pStyle w:val="Normal"/>
              <w:rPr>
                <w:sz w:val="22"/>
                <w:szCs w:val="22"/>
              </w:rPr>
            </w:pPr>
            <w:r>
              <w:rPr>
                <w:sz w:val="22"/>
                <w:szCs w:val="22"/>
              </w:rPr>
              <w:t>Congressman Jim Maloney</w:t>
            </w:r>
          </w:p>
        </w:tc>
        <w:tc>
          <w:tcPr>
            <w:tcW w:w="1872" w:type="dxa"/>
            <w:tcBorders/>
          </w:tcPr>
          <w:p>
            <w:pPr>
              <w:pStyle w:val="Normal"/>
              <w:rPr>
                <w:sz w:val="22"/>
                <w:szCs w:val="22"/>
              </w:rPr>
            </w:pPr>
            <w:r>
              <w:rPr>
                <w:sz w:val="22"/>
                <w:szCs w:val="22"/>
              </w:rPr>
              <w:t>April 25, 2000</w:t>
            </w:r>
          </w:p>
        </w:tc>
      </w:tr>
      <w:tr>
        <w:trPr/>
        <w:tc>
          <w:tcPr>
            <w:tcW w:w="4608" w:type="dxa"/>
            <w:tcBorders/>
          </w:tcPr>
          <w:p>
            <w:pPr>
              <w:pStyle w:val="Normal"/>
              <w:rPr>
                <w:sz w:val="22"/>
                <w:szCs w:val="22"/>
              </w:rPr>
            </w:pPr>
            <w:r>
              <w:rPr>
                <w:sz w:val="22"/>
                <w:szCs w:val="22"/>
              </w:rPr>
              <w:t>CRRA</w:t>
            </w:r>
          </w:p>
        </w:tc>
        <w:tc>
          <w:tcPr>
            <w:tcW w:w="1872" w:type="dxa"/>
            <w:tcBorders/>
          </w:tcPr>
          <w:p>
            <w:pPr>
              <w:pStyle w:val="Normal"/>
              <w:rPr>
                <w:sz w:val="22"/>
                <w:szCs w:val="22"/>
              </w:rPr>
            </w:pPr>
            <w:r>
              <w:rPr>
                <w:sz w:val="22"/>
                <w:szCs w:val="22"/>
              </w:rPr>
              <w:t>April 26, 2000</w:t>
            </w:r>
          </w:p>
        </w:tc>
      </w:tr>
      <w:tr>
        <w:trPr/>
        <w:tc>
          <w:tcPr>
            <w:tcW w:w="4608" w:type="dxa"/>
            <w:tcBorders/>
          </w:tcPr>
          <w:p>
            <w:pPr>
              <w:pStyle w:val="Normal"/>
              <w:rPr>
                <w:sz w:val="22"/>
                <w:szCs w:val="22"/>
              </w:rPr>
            </w:pPr>
            <w:r>
              <w:rPr>
                <w:sz w:val="22"/>
                <w:szCs w:val="22"/>
              </w:rPr>
              <w:t>Proton Energy Systems</w:t>
            </w:r>
          </w:p>
        </w:tc>
        <w:tc>
          <w:tcPr>
            <w:tcW w:w="1872" w:type="dxa"/>
            <w:tcBorders/>
          </w:tcPr>
          <w:p>
            <w:pPr>
              <w:pStyle w:val="Normal"/>
              <w:rPr>
                <w:sz w:val="22"/>
                <w:szCs w:val="22"/>
              </w:rPr>
            </w:pPr>
            <w:r>
              <w:rPr>
                <w:sz w:val="22"/>
                <w:szCs w:val="22"/>
              </w:rPr>
              <w:t>May 9, 2000</w:t>
            </w:r>
          </w:p>
        </w:tc>
      </w:tr>
      <w:tr>
        <w:trPr/>
        <w:tc>
          <w:tcPr>
            <w:tcW w:w="4608" w:type="dxa"/>
            <w:tcBorders/>
          </w:tcPr>
          <w:p>
            <w:pPr>
              <w:pStyle w:val="Normal"/>
              <w:rPr>
                <w:sz w:val="22"/>
                <w:szCs w:val="22"/>
              </w:rPr>
            </w:pPr>
            <w:r>
              <w:rPr>
                <w:sz w:val="22"/>
                <w:szCs w:val="22"/>
              </w:rPr>
              <w:t>Dept. of Economic and Community Development</w:t>
            </w:r>
          </w:p>
        </w:tc>
        <w:tc>
          <w:tcPr>
            <w:tcW w:w="1872" w:type="dxa"/>
            <w:tcBorders/>
          </w:tcPr>
          <w:p>
            <w:pPr>
              <w:pStyle w:val="Normal"/>
              <w:rPr>
                <w:sz w:val="22"/>
                <w:szCs w:val="22"/>
              </w:rPr>
            </w:pPr>
            <w:r>
              <w:rPr>
                <w:sz w:val="22"/>
                <w:szCs w:val="22"/>
              </w:rPr>
              <w:t>May 25, 2000</w:t>
            </w:r>
          </w:p>
        </w:tc>
      </w:tr>
      <w:tr>
        <w:trPr/>
        <w:tc>
          <w:tcPr>
            <w:tcW w:w="4608" w:type="dxa"/>
            <w:tcBorders/>
          </w:tcPr>
          <w:p>
            <w:pPr>
              <w:pStyle w:val="Normal"/>
              <w:rPr>
                <w:sz w:val="22"/>
                <w:szCs w:val="22"/>
              </w:rPr>
            </w:pPr>
            <w:r>
              <w:rPr>
                <w:sz w:val="22"/>
                <w:szCs w:val="22"/>
              </w:rPr>
              <w:t>Office of the Governor</w:t>
            </w:r>
          </w:p>
        </w:tc>
        <w:tc>
          <w:tcPr>
            <w:tcW w:w="1872" w:type="dxa"/>
            <w:tcBorders/>
          </w:tcPr>
          <w:p>
            <w:pPr>
              <w:pStyle w:val="Normal"/>
              <w:rPr>
                <w:sz w:val="22"/>
                <w:szCs w:val="22"/>
              </w:rPr>
            </w:pPr>
            <w:r>
              <w:rPr>
                <w:sz w:val="22"/>
                <w:szCs w:val="22"/>
              </w:rPr>
              <w:t>July 11, 2000</w:t>
            </w:r>
          </w:p>
        </w:tc>
      </w:tr>
      <w:tr>
        <w:trPr/>
        <w:tc>
          <w:tcPr>
            <w:tcW w:w="4608" w:type="dxa"/>
            <w:tcBorders/>
          </w:tcPr>
          <w:p>
            <w:pPr>
              <w:pStyle w:val="Normal"/>
              <w:rPr>
                <w:sz w:val="22"/>
                <w:szCs w:val="22"/>
              </w:rPr>
            </w:pPr>
            <w:r>
              <w:rPr>
                <w:sz w:val="22"/>
                <w:szCs w:val="22"/>
              </w:rPr>
              <w:t>Office of Policy and Management</w:t>
            </w:r>
          </w:p>
        </w:tc>
        <w:tc>
          <w:tcPr>
            <w:tcW w:w="1872" w:type="dxa"/>
            <w:tcBorders/>
          </w:tcPr>
          <w:p>
            <w:pPr>
              <w:pStyle w:val="Normal"/>
              <w:rPr>
                <w:sz w:val="22"/>
                <w:szCs w:val="22"/>
              </w:rPr>
            </w:pPr>
            <w:r>
              <w:rPr>
                <w:sz w:val="22"/>
                <w:szCs w:val="22"/>
              </w:rPr>
              <w:t>August 30, 2000</w:t>
            </w:r>
          </w:p>
        </w:tc>
      </w:tr>
    </w:tbl>
    <w:p>
      <w:pPr>
        <w:pStyle w:val="Normal"/>
        <w:rPr>
          <w:sz w:val="22"/>
          <w:szCs w:val="22"/>
        </w:rPr>
      </w:pPr>
      <w:r>
        <w:rPr>
          <w:sz w:val="22"/>
          <w:szCs w:val="22"/>
        </w:rPr>
      </w:r>
    </w:p>
    <w:p>
      <w:pPr>
        <w:pStyle w:val="Normal"/>
        <w:rPr>
          <w:sz w:val="22"/>
          <w:szCs w:val="22"/>
        </w:rPr>
      </w:pPr>
      <w:r>
        <w:rPr>
          <w:sz w:val="22"/>
          <w:szCs w:val="22"/>
        </w:rPr>
      </w:r>
    </w:p>
    <w:p>
      <w:pPr>
        <w:pStyle w:val="Heading1"/>
        <w:ind w:hanging="0" w:start="0"/>
        <w:rPr/>
      </w:pPr>
      <w:r>
        <w:rPr/>
        <w:t>Project Overview</w:t>
      </w:r>
    </w:p>
    <w:p>
      <w:pPr>
        <w:pStyle w:val="Normal"/>
        <w:rPr>
          <w:sz w:val="22"/>
          <w:szCs w:val="22"/>
        </w:rPr>
      </w:pPr>
      <w:r>
        <w:rPr>
          <w:sz w:val="22"/>
          <w:szCs w:val="22"/>
        </w:rPr>
      </w:r>
    </w:p>
    <w:p>
      <w:pPr>
        <w:pStyle w:val="Normal"/>
        <w:rPr>
          <w:sz w:val="22"/>
          <w:szCs w:val="22"/>
        </w:rPr>
      </w:pPr>
      <w:r>
        <w:rPr>
          <w:sz w:val="22"/>
          <w:szCs w:val="22"/>
        </w:rPr>
        <w:t>ENA believes that there is sufficient support from various state agencies making a project possible.  The general outline of such a project is as follows.</w:t>
      </w:r>
    </w:p>
    <w:p>
      <w:pPr>
        <w:pStyle w:val="Normal"/>
        <w:rPr>
          <w:sz w:val="22"/>
          <w:szCs w:val="22"/>
        </w:rPr>
      </w:pPr>
      <w:r>
        <w:rPr>
          <w:sz w:val="22"/>
          <w:szCs w:val="22"/>
        </w:rPr>
      </w:r>
    </w:p>
    <w:p>
      <w:pPr>
        <w:pStyle w:val="Normal"/>
        <w:numPr>
          <w:ilvl w:val="0"/>
          <w:numId w:val="3"/>
        </w:numPr>
        <w:tabs>
          <w:tab w:val="clear" w:pos="720"/>
          <w:tab w:val="left" w:pos="0" w:leader="none"/>
        </w:tabs>
        <w:spacing w:before="60" w:after="60"/>
        <w:ind w:hanging="720" w:start="720" w:end="0"/>
        <w:rPr>
          <w:sz w:val="22"/>
          <w:szCs w:val="22"/>
        </w:rPr>
      </w:pPr>
      <w:r>
        <w:rPr>
          <w:sz w:val="22"/>
          <w:szCs w:val="22"/>
        </w:rPr>
        <w:t>ENA will develop 25-50 MW of fuel cell farms and give the DPUC a guarantee that the farms will meet performance benchmarks.  ENA will receive a 10% fee for developing this project, a portion of which will be at risk if the farms fail to meet minimum standards.</w:t>
      </w:r>
    </w:p>
    <w:p>
      <w:pPr>
        <w:pStyle w:val="Normal"/>
        <w:numPr>
          <w:ilvl w:val="0"/>
          <w:numId w:val="3"/>
        </w:numPr>
        <w:tabs>
          <w:tab w:val="clear" w:pos="720"/>
          <w:tab w:val="left" w:pos="0" w:leader="none"/>
        </w:tabs>
        <w:spacing w:before="60" w:after="60"/>
        <w:ind w:hanging="720" w:start="720" w:end="0"/>
        <w:rPr>
          <w:sz w:val="22"/>
          <w:szCs w:val="22"/>
        </w:rPr>
      </w:pPr>
      <w:r>
        <w:rPr>
          <w:sz w:val="22"/>
          <w:szCs w:val="22"/>
        </w:rPr>
        <w:t>CRRA will own [and operate] the fuel cell farms after successful completion of performance tests.</w:t>
      </w:r>
    </w:p>
    <w:p>
      <w:pPr>
        <w:pStyle w:val="Normal"/>
        <w:numPr>
          <w:ilvl w:val="0"/>
          <w:numId w:val="3"/>
        </w:numPr>
        <w:tabs>
          <w:tab w:val="clear" w:pos="720"/>
          <w:tab w:val="left" w:pos="0" w:leader="none"/>
        </w:tabs>
        <w:spacing w:before="60" w:after="60"/>
        <w:ind w:hanging="720" w:start="720" w:end="0"/>
        <w:rPr>
          <w:sz w:val="22"/>
          <w:szCs w:val="22"/>
        </w:rPr>
      </w:pPr>
      <w:r>
        <w:rPr>
          <w:sz w:val="22"/>
          <w:szCs w:val="22"/>
        </w:rPr>
        <w:t>The State will commit funds (expected to come from the Conservation Fund) that CRRA will receive to repay bonds issued to fund the project.</w:t>
      </w:r>
    </w:p>
    <w:p>
      <w:pPr>
        <w:pStyle w:val="Normal"/>
        <w:numPr>
          <w:ilvl w:val="0"/>
          <w:numId w:val="3"/>
        </w:numPr>
        <w:tabs>
          <w:tab w:val="clear" w:pos="720"/>
          <w:tab w:val="left" w:pos="0" w:leader="none"/>
        </w:tabs>
        <w:spacing w:before="60" w:after="60"/>
        <w:ind w:hanging="720" w:start="720" w:end="0"/>
        <w:rPr>
          <w:sz w:val="22"/>
          <w:szCs w:val="22"/>
        </w:rPr>
      </w:pPr>
      <w:r>
        <w:rPr>
          <w:sz w:val="22"/>
          <w:szCs w:val="22"/>
        </w:rPr>
        <w:t>ENA is working with CRRA and FCEL to finalize the scope, cost and terms of the projects in order to return to the DPUC with a final proposal and to begin the process of request state funds and approvals.  This process includes testifying at a public hearing before the DPUC.</w:t>
      </w:r>
    </w:p>
    <w:p>
      <w:pPr>
        <w:pStyle w:val="Normal"/>
        <w:numPr>
          <w:ilvl w:val="0"/>
          <w:numId w:val="3"/>
        </w:numPr>
        <w:tabs>
          <w:tab w:val="clear" w:pos="720"/>
          <w:tab w:val="left" w:pos="0" w:leader="none"/>
        </w:tabs>
        <w:spacing w:before="60" w:after="60"/>
        <w:ind w:hanging="720" w:start="720" w:end="0"/>
        <w:rPr>
          <w:sz w:val="22"/>
          <w:szCs w:val="22"/>
        </w:rPr>
      </w:pPr>
      <w:r>
        <w:rPr>
          <w:sz w:val="22"/>
          <w:szCs w:val="22"/>
        </w:rPr>
        <w:t>Firm orders will not be placed with the manufacturers until all timing, cost and warranty issues have been negotiated and approved by the DPUC and funding has occurred.  This funding may include issuing project bonds backed by state funds.</w:t>
      </w:r>
    </w:p>
    <w:p>
      <w:pPr>
        <w:pStyle w:val="Normal"/>
        <w:numPr>
          <w:ilvl w:val="0"/>
          <w:numId w:val="3"/>
        </w:numPr>
        <w:tabs>
          <w:tab w:val="clear" w:pos="720"/>
          <w:tab w:val="left" w:pos="0" w:leader="none"/>
        </w:tabs>
        <w:spacing w:before="60" w:after="60"/>
        <w:ind w:hanging="360" w:start="720" w:end="0"/>
        <w:rPr>
          <w:sz w:val="22"/>
          <w:szCs w:val="22"/>
        </w:rPr>
      </w:pPr>
      <w:r>
        <w:rPr>
          <w:sz w:val="22"/>
          <w:szCs w:val="22"/>
        </w:rPr>
        <w:t>ENA anticipates finalization of the project in late 2000 or early 2001.</w:t>
      </w:r>
    </w:p>
    <w:p>
      <w:pPr>
        <w:pStyle w:val="Normal"/>
        <w:rPr>
          <w:sz w:val="22"/>
          <w:szCs w:val="22"/>
        </w:rPr>
      </w:pPr>
      <w:r>
        <w:rPr>
          <w:sz w:val="22"/>
          <w:szCs w:val="22"/>
        </w:rPr>
      </w:r>
    </w:p>
    <w:p>
      <w:pPr>
        <w:pStyle w:val="Normal"/>
        <w:rPr>
          <w:sz w:val="22"/>
          <w:szCs w:val="22"/>
        </w:rPr>
      </w:pPr>
      <w:r>
        <w:rPr>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22"/>
      <w:szCs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sz w:val="22"/>
      <w:szCs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2000-09-24T18:16:00Z</dcterms:created>
  <dc:creator>hkroll</dc:creator>
  <dc:description/>
  <dc:language>en-CA</dc:language>
  <cp:lastModifiedBy>hkroll</cp:lastModifiedBy>
  <cp:lastPrinted>2000-09-24T16:26:00Z</cp:lastPrinted>
  <dcterms:modified xsi:type="dcterms:W3CDTF">2000-09-24T19:09:00Z</dcterms:modified>
  <cp:revision>1</cp:revision>
  <dc:subject/>
  <dc:title>MEMO FOR FILE</dc:title>
</cp:coreProperties>
</file>