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 (Enron North America)</w:t>
            </w:r>
          </w:p>
          <w:p>
            <w:pPr>
              <w:pStyle w:val="To"/>
              <w:rPr/>
            </w:pPr>
            <w:r>
              <w:rPr/>
              <w:t>Mark Taylor (Enron North America)</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Bill Bradford (Enron Canada)</w:t>
            </w:r>
          </w:p>
          <w:p>
            <w:pPr>
              <w:pStyle w:val="Normal"/>
              <w:rPr>
                <w:sz w:val="18"/>
              </w:rPr>
            </w:pPr>
            <w:r>
              <w:rPr>
                <w:sz w:val="18"/>
              </w:rPr>
              <w:t>Nella Cappelletto (Enron Canada)</w:t>
            </w:r>
          </w:p>
          <w:p>
            <w:pPr>
              <w:pStyle w:val="Normal"/>
              <w:rPr>
                <w:sz w:val="18"/>
              </w:rPr>
            </w:pPr>
            <w:r>
              <w:rPr>
                <w:sz w:val="18"/>
              </w:rPr>
              <w:t>Peggy Hedstrom (Enron Canada)</w:t>
            </w:r>
          </w:p>
          <w:p>
            <w:pPr>
              <w:pStyle w:val="Normal"/>
              <w:rPr>
                <w:sz w:val="18"/>
              </w:rPr>
            </w:pPr>
            <w:r>
              <w:rPr>
                <w:sz w:val="18"/>
              </w:rPr>
              <w:t>Tana Jones (Enron North America)</w:t>
            </w:r>
          </w:p>
          <w:p>
            <w:pPr>
              <w:pStyle w:val="Normal"/>
              <w:rPr>
                <w:sz w:val="18"/>
              </w:rPr>
            </w:pPr>
            <w:r>
              <w:rPr>
                <w:sz w:val="18"/>
              </w:rPr>
              <w:t>Peter Keohane (Enron Canada)</w:t>
            </w:r>
          </w:p>
          <w:p>
            <w:pPr>
              <w:pStyle w:val="Normal"/>
              <w:rPr>
                <w:sz w:val="18"/>
              </w:rPr>
            </w:pPr>
            <w:r>
              <w:rPr>
                <w:sz w:val="18"/>
              </w:rPr>
              <w:t>Jon McKay (Enron Canada)</w:t>
            </w:r>
          </w:p>
          <w:p>
            <w:pPr>
              <w:pStyle w:val="Normal"/>
              <w:rPr>
                <w:sz w:val="18"/>
              </w:rPr>
            </w:pPr>
            <w:r>
              <w:rPr>
                <w:sz w:val="18"/>
              </w:rPr>
              <w:t>Rob Milnthorp (Enron Canada)</w:t>
            </w:r>
          </w:p>
          <w:p>
            <w:pPr>
              <w:pStyle w:val="Normal"/>
              <w:rPr>
                <w:sz w:val="18"/>
              </w:rPr>
            </w:pPr>
            <w:r>
              <w:rPr>
                <w:sz w:val="18"/>
              </w:rPr>
              <w:t>Mark Powell (Enron Canada)</w:t>
            </w:r>
          </w:p>
          <w:p>
            <w:pPr>
              <w:pStyle w:val="Normal"/>
              <w:rPr>
                <w:sz w:val="18"/>
              </w:rPr>
            </w:pPr>
            <w:r>
              <w:rPr>
                <w:sz w:val="18"/>
              </w:rPr>
              <w:t>Dianne Seib (Enron Canada)</w:t>
            </w:r>
          </w:p>
          <w:p>
            <w:pPr>
              <w:pStyle w:val="Normal"/>
              <w:rPr>
                <w:sz w:val="18"/>
              </w:rPr>
            </w:pPr>
            <w:r>
              <w:rPr>
                <w:sz w:val="18"/>
              </w:rPr>
              <w:t>Linda Sietzema (Enron Canada)</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Greg Johnston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Project Doorstep</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90" w:end="0"/>
        <w:jc w:val="both"/>
        <w:rPr>
          <w:sz w:val="22"/>
        </w:rPr>
      </w:pPr>
      <w:r>
        <w:rPr>
          <w:sz w:val="22"/>
        </w:rPr>
      </w:r>
      <w:bookmarkStart w:id="1" w:name="StartOfMemo"/>
      <w:bookmarkStart w:id="2" w:name="StartOfMemo"/>
      <w:bookmarkEnd w:id="2"/>
    </w:p>
    <w:p>
      <w:pPr>
        <w:pStyle w:val="Body"/>
        <w:ind w:start="90" w:end="0"/>
        <w:jc w:val="both"/>
        <w:rPr/>
      </w:pPr>
      <w:r>
        <w:rPr/>
        <w:t>As you are aware, pursuant to Project Doorstep, Arthur Andersen has mandated that all financial trading activities relating to Enron Canada be moved to and dealt with from the Calgary office, which mandate has been approved by Sally Beck and Dave Delainey.  My understanding is that this mandate is to be implemented as soon as possible.  As a result, I wanted to send out this memo setting forth some of our thoughts on commencing the process for moving both the legal and operational components of the Canadian financial trading to the Calgary office as well as soliciting your thoughts on how to properly undertake the transition of the Canadian financial trading work from the Houston office to the Calgary office so as to minimize disruptions with our counterparties and each of the affected offices.  In order to complete such transition, it will obviously be essential that the Calgary legal group and operational group work closely with each other and with the corresponding groups in Houston in order to complete this matter in a timely manner and with minimal disruption.</w:t>
      </w:r>
    </w:p>
    <w:p>
      <w:pPr>
        <w:pStyle w:val="Body"/>
        <w:ind w:start="90" w:end="0"/>
        <w:jc w:val="both"/>
        <w:rPr/>
      </w:pPr>
      <w:r>
        <w:rPr/>
      </w:r>
    </w:p>
    <w:p>
      <w:pPr>
        <w:pStyle w:val="Body"/>
        <w:ind w:start="90" w:end="0"/>
        <w:jc w:val="both"/>
        <w:rPr/>
      </w:pPr>
      <w:r>
        <w:rPr/>
        <w:t>On the operational side, I would expect that Peggy Hedstrom can commence the process by dealing directly with Sally Beck.  With respect to the legal matters, Enron Canada would need to obtain all relevant precedent documents relating to the Canadian financial trading business in both electronic and hard copy form.  I would also expect that we will need to have sent to us a full set of all currently existing Canadian ISDA/Master Financial files.  In addition, we would suggest that, for a reasonable transition period, Enron Canada would continue to rely on the Houston financial trading paralegals with respect to the preparation of documents and, to the extent that the legal department is involved, the confirming process.  However, negotiation of ISDAs, with the continued support of Mark Taylor and his group, would be transitioned immediately to Enron Canada.  In light of the desire to move all of these operations to the Calgary office, we would suggest that, over the course of the next month or so, each of Linda and Nella spend a few days in Houston with the financial trading paralegals to learn the process with respect thereto.  Perhaps Tana could run each of them through her ISDA training course and then they could spend some time with the paralegals preparing the forms of ISDA and the Transaction Confirmations.</w:t>
      </w:r>
    </w:p>
    <w:p>
      <w:pPr>
        <w:pStyle w:val="Body"/>
        <w:ind w:start="90" w:end="0"/>
        <w:jc w:val="both"/>
        <w:rPr/>
      </w:pPr>
      <w:r>
        <w:rPr/>
      </w:r>
    </w:p>
    <w:p>
      <w:pPr>
        <w:pStyle w:val="Body"/>
        <w:ind w:start="90" w:end="0"/>
        <w:jc w:val="both"/>
        <w:rPr/>
      </w:pPr>
      <w:r>
        <w:rPr/>
        <w:t>If you have any comments or suggestions on these matters, please do not hesitate to contact me at (403) 974-6745.</w:t>
      </w:r>
    </w:p>
    <w:p>
      <w:pPr>
        <w:pStyle w:val="Body"/>
        <w:ind w:start="90" w:end="0"/>
        <w:jc w:val="both"/>
        <w:rPr/>
      </w:pPr>
      <w:r>
        <w:rPr/>
      </w:r>
    </w:p>
    <w:p>
      <w:pPr>
        <w:pStyle w:val="Body"/>
        <w:ind w:start="90" w:end="0"/>
        <w:jc w:val="both"/>
        <w:rPr/>
      </w:pPr>
      <w:r>
        <w:rPr/>
        <w:t>Thanks,</w:t>
      </w:r>
    </w:p>
    <w:p>
      <w:pPr>
        <w:pStyle w:val="Body"/>
        <w:ind w:start="90" w:end="0"/>
        <w:jc w:val="both"/>
        <w:rPr/>
      </w:pPr>
      <w:r>
        <w:rPr/>
        <w:t>Greg Johnston</w:t>
      </w:r>
    </w:p>
    <w:p>
      <w:pPr>
        <w:pStyle w:val="Body"/>
        <w:ind w:start="90" w:end="0"/>
        <w:jc w:val="both"/>
        <w:rPr>
          <w:b/>
        </w:rPr>
      </w:pPr>
      <w:r>
        <w:rPr>
          <w:b/>
        </w:rPr>
      </w:r>
    </w:p>
    <w:p>
      <w:pPr>
        <w:pStyle w:val="Body"/>
        <w:ind w:start="90" w:end="0"/>
        <w:jc w:val="both"/>
        <w:rPr/>
      </w:pPr>
      <w:r>
        <w:rPr/>
        <w:t>GJ/ls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/mnt/main-storage/datasets/enron-docs/doc/project_doorstep.memo.doc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/mnt/main-storage/datasets/enron-docs/doc/project_doorstep.memo.doc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0</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2000-06-08T12:19:00Z</dcterms:created>
  <dc:creator>ncappel</dc:creator>
  <dc:description/>
  <dc:language>en-CA</dc:language>
  <cp:lastModifiedBy>gjohnst</cp:lastModifiedBy>
  <cp:lastPrinted>2000-06-09T09:22:00Z</cp:lastPrinted>
  <dcterms:modified xsi:type="dcterms:W3CDTF">2000-06-09T12:52:00Z</dcterms:modified>
  <cp:revision>7</cp:revision>
  <dc:subject/>
  <dc:title>Eron Capital &amp; Trade Resources Memo</dc:title>
</cp:coreProperties>
</file>