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Normal"/>
        <w:widowControl/>
        <w:jc w:val="center"/>
        <w:rPr>
          <w:b/>
          <w:bCs/>
          <w:i/>
          <w:i/>
          <w:iCs/>
          <w:sz w:val="24"/>
          <w:szCs w:val="24"/>
        </w:rPr>
      </w:pPr>
      <w:r>
        <w:rPr>
          <w:b/>
          <w:bCs/>
          <w:i/>
          <w:iCs/>
          <w:sz w:val="24"/>
          <w:szCs w:val="24"/>
        </w:rPr>
        <w:t>DRAFT</w:t>
      </w:r>
    </w:p>
    <w:p>
      <w:pPr>
        <w:pStyle w:val="Normal"/>
        <w:widowControl/>
        <w:jc w:val="center"/>
        <w:rPr>
          <w:b/>
          <w:bCs/>
          <w:i/>
          <w:i/>
          <w:iCs/>
          <w:sz w:val="24"/>
          <w:szCs w:val="24"/>
        </w:rPr>
      </w:pPr>
      <w:r>
        <w:rPr>
          <w:b/>
          <w:bCs/>
          <w:i/>
          <w:iCs/>
          <w:sz w:val="24"/>
          <w:szCs w:val="24"/>
        </w:rPr>
        <w:t>Privileged and Confidential</w:t>
      </w:r>
    </w:p>
    <w:p>
      <w:pPr>
        <w:pStyle w:val="Normal"/>
        <w:widowControl/>
        <w:jc w:val="center"/>
        <w:rPr>
          <w:b/>
          <w:bCs/>
          <w:i/>
          <w:i/>
          <w:iCs/>
          <w:sz w:val="24"/>
          <w:szCs w:val="24"/>
        </w:rPr>
      </w:pPr>
      <w:r>
        <w:rPr>
          <w:b/>
          <w:bCs/>
          <w:i/>
          <w:iCs/>
          <w:sz w:val="24"/>
          <w:szCs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bCs/>
                <w:sz w:val="24"/>
                <w:szCs w:val="24"/>
              </w:rPr>
            </w:pPr>
            <w:r>
              <w:rPr>
                <w:b/>
                <w:bCs/>
                <w:sz w:val="24"/>
                <w:szCs w:val="24"/>
              </w:rPr>
              <w:t>To:</w:t>
            </w:r>
          </w:p>
        </w:tc>
        <w:tc>
          <w:tcPr>
            <w:tcW w:w="3330" w:type="dxa"/>
            <w:tcBorders/>
          </w:tcPr>
          <w:p>
            <w:pPr>
              <w:pStyle w:val="To"/>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Janet Place</w:t>
            </w:r>
          </w:p>
        </w:tc>
        <w:tc>
          <w:tcPr>
            <w:tcW w:w="2053" w:type="dxa"/>
            <w:gridSpan w:val="3"/>
            <w:tcBorders/>
          </w:tcPr>
          <w:p>
            <w:pPr>
              <w:pStyle w:val="Normal"/>
              <w:widowControl/>
              <w:snapToGrid w:val="false"/>
              <w:ind w:start="72" w:end="0"/>
              <w:rPr>
                <w:rFonts w:ascii="Times New Roman" w:hAnsi="Times New Roman" w:eastAsia="Times New Roman" w:cs="Times New Roman"/>
                <w:sz w:val="24"/>
                <w:szCs w:val="24"/>
              </w:rPr>
            </w:pPr>
            <w:r>
              <w:rPr>
                <w:rFonts w:eastAsia="Times New Roman" w:cs="Times New Roman"/>
                <w:sz w:val="24"/>
                <w:szCs w:val="24"/>
              </w:rPr>
            </w:r>
          </w:p>
        </w:tc>
        <w:tc>
          <w:tcPr>
            <w:tcW w:w="2087" w:type="dxa"/>
            <w:tcBorders/>
          </w:tcPr>
          <w:p>
            <w:pPr>
              <w:pStyle w:val="Normal"/>
              <w:widowControl/>
              <w:snapToGrid w:val="false"/>
              <w:rPr>
                <w:b/>
                <w:bCs/>
                <w:sz w:val="24"/>
                <w:szCs w:val="24"/>
              </w:rPr>
            </w:pPr>
            <w:r>
              <w:rPr>
                <w:b/>
                <w:bCs/>
                <w:sz w:val="24"/>
                <w:szCs w:val="24"/>
              </w:rPr>
            </w:r>
          </w:p>
        </w:tc>
      </w:tr>
      <w:tr>
        <w:trPr>
          <w:trHeight w:val="269" w:hRule="exact"/>
        </w:trPr>
        <w:tc>
          <w:tcPr>
            <w:tcW w:w="1440" w:type="dxa"/>
            <w:tcBorders/>
          </w:tcPr>
          <w:p>
            <w:pPr>
              <w:pStyle w:val="Normal"/>
              <w:widowControl/>
              <w:snapToGrid w:val="false"/>
              <w:ind w:start="-108" w:end="0"/>
              <w:rPr>
                <w:b/>
                <w:bCs/>
                <w:sz w:val="24"/>
                <w:szCs w:val="24"/>
              </w:rPr>
            </w:pPr>
            <w:r>
              <w:rPr>
                <w:b/>
                <w:bCs/>
                <w:sz w:val="24"/>
                <w:szCs w:val="24"/>
              </w:rPr>
            </w:r>
          </w:p>
        </w:tc>
        <w:tc>
          <w:tcPr>
            <w:tcW w:w="3330" w:type="dxa"/>
            <w:tcBorders/>
          </w:tcPr>
          <w:p>
            <w:pPr>
              <w:pStyle w:val="Normal"/>
              <w:widowControl/>
              <w:snapToGrid w:val="false"/>
              <w:rPr>
                <w:b/>
                <w:bCs/>
                <w:sz w:val="24"/>
                <w:szCs w:val="24"/>
              </w:rPr>
            </w:pPr>
            <w:r>
              <w:rPr>
                <w:b/>
                <w:bCs/>
                <w:sz w:val="24"/>
                <w:szCs w:val="24"/>
              </w:rPr>
            </w:r>
          </w:p>
        </w:tc>
        <w:tc>
          <w:tcPr>
            <w:tcW w:w="2053" w:type="dxa"/>
            <w:gridSpan w:val="3"/>
            <w:tcBorders/>
          </w:tcPr>
          <w:p>
            <w:pPr>
              <w:pStyle w:val="Normal"/>
              <w:widowControl/>
              <w:snapToGrid w:val="false"/>
              <w:ind w:start="-180" w:end="0"/>
              <w:rPr>
                <w:b/>
                <w:bCs/>
                <w:sz w:val="24"/>
                <w:szCs w:val="24"/>
              </w:rPr>
            </w:pPr>
            <w:r>
              <w:rPr>
                <w:b/>
                <w:bCs/>
                <w:sz w:val="24"/>
                <w:szCs w:val="24"/>
              </w:rPr>
            </w:r>
          </w:p>
        </w:tc>
        <w:tc>
          <w:tcPr>
            <w:tcW w:w="2087" w:type="dxa"/>
            <w:tcBorders/>
          </w:tcPr>
          <w:p>
            <w:pPr>
              <w:pStyle w:val="Normal"/>
              <w:widowControl/>
              <w:snapToGrid w:val="false"/>
              <w:rPr>
                <w:b/>
                <w:bCs/>
                <w:sz w:val="24"/>
                <w:szCs w:val="24"/>
              </w:rPr>
            </w:pPr>
            <w:r>
              <w:rPr>
                <w:b/>
                <w:bCs/>
                <w:sz w:val="24"/>
                <w:szCs w:val="24"/>
              </w:rPr>
            </w:r>
          </w:p>
        </w:tc>
      </w:tr>
      <w:tr>
        <w:trPr>
          <w:trHeight w:val="300" w:hRule="exact"/>
        </w:trPr>
        <w:tc>
          <w:tcPr>
            <w:tcW w:w="1440" w:type="dxa"/>
            <w:tcBorders/>
          </w:tcPr>
          <w:p>
            <w:pPr>
              <w:pStyle w:val="Normal"/>
              <w:widowControl/>
              <w:ind w:start="-108" w:end="0"/>
              <w:rPr>
                <w:b/>
                <w:bCs/>
                <w:sz w:val="24"/>
                <w:szCs w:val="24"/>
              </w:rPr>
            </w:pPr>
            <w:r>
              <w:rPr>
                <w:b/>
                <w:bCs/>
                <w:sz w:val="24"/>
                <w:szCs w:val="24"/>
              </w:rPr>
              <w:t>From:</w:t>
            </w:r>
          </w:p>
        </w:tc>
        <w:tc>
          <w:tcPr>
            <w:tcW w:w="3330" w:type="dxa"/>
            <w:tcBorders/>
          </w:tcPr>
          <w:p>
            <w:pPr>
              <w:pStyle w:val="From"/>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Shelley Corman</w:t>
            </w:r>
          </w:p>
        </w:tc>
        <w:tc>
          <w:tcPr>
            <w:tcW w:w="1539" w:type="dxa"/>
            <w:gridSpan w:val="2"/>
            <w:tcBorders/>
          </w:tcPr>
          <w:p>
            <w:pPr>
              <w:pStyle w:val="Normal"/>
              <w:widowControl/>
              <w:snapToGrid w:val="false"/>
              <w:ind w:start="-180" w:end="0"/>
              <w:jc w:val="end"/>
              <w:rPr>
                <w:rFonts w:ascii="Times New Roman" w:hAnsi="Times New Roman" w:eastAsia="Times New Roman" w:cs="Times New Roman"/>
                <w:b/>
                <w:bCs/>
                <w:sz w:val="24"/>
                <w:szCs w:val="24"/>
              </w:rPr>
            </w:pPr>
            <w:r>
              <w:rPr>
                <w:rFonts w:eastAsia="Times New Roman" w:cs="Times New Roman"/>
                <w:b/>
                <w:bCs/>
                <w:sz w:val="24"/>
                <w:szCs w:val="24"/>
              </w:rPr>
            </w:r>
          </w:p>
        </w:tc>
        <w:tc>
          <w:tcPr>
            <w:tcW w:w="2601" w:type="dxa"/>
            <w:gridSpan w:val="2"/>
            <w:tcBorders/>
          </w:tcPr>
          <w:p>
            <w:pPr>
              <w:pStyle w:val="Department"/>
              <w:widowControl/>
              <w:snapToGrid w:val="false"/>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eastAsia="Times New Roman" w:cs="Times New Roman"/>
                <w:b/>
                <w:bCs/>
                <w:sz w:val="24"/>
                <w:szCs w:val="24"/>
              </w:rPr>
            </w:pPr>
            <w:r>
              <w:rPr>
                <w:rFonts w:eastAsia="Times New Roman" w:cs="Times New Roman"/>
                <w:b/>
                <w:bCs/>
                <w:sz w:val="24"/>
                <w:szCs w:val="24"/>
              </w:rPr>
            </w:r>
          </w:p>
        </w:tc>
        <w:tc>
          <w:tcPr>
            <w:tcW w:w="3330" w:type="dxa"/>
            <w:tcBorders/>
          </w:tcPr>
          <w:p>
            <w:pPr>
              <w:pStyle w:val="Normal"/>
              <w:widowControl/>
              <w:snapToGrid w:val="false"/>
              <w:rPr>
                <w:b/>
                <w:bCs/>
                <w:sz w:val="24"/>
                <w:szCs w:val="24"/>
              </w:rPr>
            </w:pPr>
            <w:r>
              <w:rPr>
                <w:b/>
                <w:bCs/>
                <w:sz w:val="24"/>
                <w:szCs w:val="24"/>
              </w:rPr>
            </w:r>
          </w:p>
        </w:tc>
        <w:tc>
          <w:tcPr>
            <w:tcW w:w="2053" w:type="dxa"/>
            <w:gridSpan w:val="3"/>
            <w:tcBorders/>
          </w:tcPr>
          <w:p>
            <w:pPr>
              <w:pStyle w:val="Normal"/>
              <w:widowControl/>
              <w:tabs>
                <w:tab w:val="clear" w:pos="720"/>
                <w:tab w:val="left" w:pos="-108" w:leader="none"/>
              </w:tabs>
              <w:snapToGrid w:val="false"/>
              <w:ind w:start="-180" w:end="0"/>
              <w:rPr>
                <w:b/>
                <w:bCs/>
                <w:sz w:val="24"/>
                <w:szCs w:val="24"/>
              </w:rPr>
            </w:pPr>
            <w:r>
              <w:rPr>
                <w:b/>
                <w:bCs/>
                <w:sz w:val="24"/>
                <w:szCs w:val="24"/>
              </w:rPr>
            </w:r>
          </w:p>
        </w:tc>
        <w:tc>
          <w:tcPr>
            <w:tcW w:w="2087" w:type="dxa"/>
            <w:tcBorders/>
          </w:tcPr>
          <w:p>
            <w:pPr>
              <w:pStyle w:val="Normal"/>
              <w:widowControl/>
              <w:snapToGrid w:val="false"/>
              <w:rPr>
                <w:b/>
                <w:bCs/>
                <w:sz w:val="24"/>
                <w:szCs w:val="24"/>
              </w:rPr>
            </w:pPr>
            <w:r>
              <w:rPr>
                <w:b/>
                <w:bCs/>
                <w:sz w:val="24"/>
                <w:szCs w:val="24"/>
              </w:rPr>
            </w:r>
          </w:p>
        </w:tc>
      </w:tr>
      <w:tr>
        <w:trPr/>
        <w:tc>
          <w:tcPr>
            <w:tcW w:w="1440" w:type="dxa"/>
            <w:tcBorders/>
          </w:tcPr>
          <w:p>
            <w:pPr>
              <w:pStyle w:val="Normal"/>
              <w:widowControl/>
              <w:ind w:start="-108" w:end="0"/>
              <w:rPr>
                <w:b/>
                <w:bCs/>
                <w:sz w:val="24"/>
                <w:szCs w:val="24"/>
              </w:rPr>
            </w:pPr>
            <w:r>
              <w:rPr>
                <w:b/>
                <w:bCs/>
                <w:sz w:val="24"/>
                <w:szCs w:val="24"/>
              </w:rPr>
              <w:t>Subject:</w:t>
            </w:r>
          </w:p>
        </w:tc>
        <w:tc>
          <w:tcPr>
            <w:tcW w:w="3330" w:type="dxa"/>
            <w:tcBorders/>
          </w:tcPr>
          <w:p>
            <w:pPr>
              <w:pStyle w:val="Subject"/>
              <w:widowContro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Project 20/20</w:t>
            </w:r>
          </w:p>
        </w:tc>
        <w:tc>
          <w:tcPr>
            <w:tcW w:w="1232" w:type="dxa"/>
            <w:tcBorders/>
          </w:tcPr>
          <w:p>
            <w:pPr>
              <w:pStyle w:val="Normal"/>
              <w:widowControl/>
              <w:ind w:start="44" w:end="0"/>
              <w:rPr>
                <w:b/>
                <w:bCs/>
                <w:sz w:val="24"/>
                <w:szCs w:val="24"/>
              </w:rPr>
            </w:pPr>
            <w:r>
              <w:rPr>
                <w:b/>
                <w:bCs/>
                <w:sz w:val="24"/>
                <w:szCs w:val="24"/>
              </w:rPr>
              <w:t>Date:</w:t>
            </w:r>
          </w:p>
        </w:tc>
        <w:tc>
          <w:tcPr>
            <w:tcW w:w="2908" w:type="dxa"/>
            <w:gridSpan w:val="3"/>
            <w:tcBorders/>
          </w:tcPr>
          <w:p>
            <w:pPr>
              <w:pStyle w:val="Date"/>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July 25, 2000</w:t>
            </w:r>
          </w:p>
        </w:tc>
      </w:tr>
    </w:tbl>
    <w:p>
      <w:pPr>
        <w:pStyle w:val="Normal"/>
        <w:widowControl/>
        <w:pBdr>
          <w:bottom w:val="single" w:sz="12" w:space="1" w:color="000000"/>
        </w:pBdr>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t>As part of Project 20/20, Northern Border Partners, LP (NBP) plans to acquire certain gathering assets from Enron North America (ENA), a marketing affiliate of NBP.  In addition, NBP proposes to hire the 20 employees located in the Denver office and currently working for ENA managing the gathering assets.  You asked me to comment on any marketing affiliate rule considerations regarding which NBP entity should employ these individuals.  In particular, you asked me to comment on the implications of the Denver employees becoming employees of Northern Plains Natural Gas Company (NPNG), the current operator of Northern Border Pipeline Company (NBPL).</w:t>
      </w:r>
    </w:p>
    <w:p>
      <w:pPr>
        <w:pStyle w:val="Normal"/>
        <w:widowControl/>
        <w:rPr>
          <w:sz w:val="24"/>
          <w:szCs w:val="24"/>
        </w:rPr>
      </w:pPr>
      <w:r>
        <w:rPr>
          <w:sz w:val="24"/>
          <w:szCs w:val="24"/>
        </w:rPr>
      </w:r>
    </w:p>
    <w:p>
      <w:pPr>
        <w:pStyle w:val="Normal"/>
        <w:widowControl/>
        <w:rPr>
          <w:b/>
          <w:bCs/>
          <w:sz w:val="24"/>
          <w:szCs w:val="24"/>
        </w:rPr>
      </w:pPr>
      <w:r>
        <w:rPr>
          <w:b/>
          <w:bCs/>
          <w:sz w:val="24"/>
          <w:szCs w:val="24"/>
        </w:rPr>
        <w:t>Will NEWCO be Subject to the Marketing Affiliate Rules?</w:t>
      </w:r>
    </w:p>
    <w:p>
      <w:pPr>
        <w:pStyle w:val="Normal"/>
        <w:widowControl/>
        <w:rPr>
          <w:sz w:val="24"/>
          <w:szCs w:val="24"/>
        </w:rPr>
      </w:pPr>
      <w:r>
        <w:rPr>
          <w:sz w:val="24"/>
          <w:szCs w:val="24"/>
        </w:rPr>
        <w:t xml:space="preserve">No.  FERC's Standards of Conduct apply to interstate pipelines that transport gas under a §157 subpart A certificate, a §284 subpart G blanket certificate, or under §284 subpart B ( NGPA 311 transportation).  ENA has determined that the subject gathering assets are not subject to FERC jurisdiction, as they are gathering assets located entirely in Wyoming, and do not constitute are not considered 311 transportation.  Thus, NEWCO itself will not be subject to the FERC marketing affiliate rules and the attendant requirements to operate separately from ENA. </w:t>
      </w:r>
    </w:p>
    <w:p>
      <w:pPr>
        <w:pStyle w:val="Normal"/>
        <w:widowControl/>
        <w:rPr>
          <w:sz w:val="24"/>
          <w:szCs w:val="24"/>
        </w:rPr>
      </w:pPr>
      <w:r>
        <w:rPr>
          <w:sz w:val="24"/>
          <w:szCs w:val="24"/>
        </w:rPr>
      </w:r>
    </w:p>
    <w:p>
      <w:pPr>
        <w:pStyle w:val="Normal"/>
        <w:widowControl/>
        <w:rPr>
          <w:b/>
          <w:bCs/>
          <w:sz w:val="24"/>
          <w:szCs w:val="24"/>
        </w:rPr>
      </w:pPr>
      <w:r>
        <w:rPr>
          <w:b/>
          <w:bCs/>
          <w:sz w:val="24"/>
          <w:szCs w:val="24"/>
        </w:rPr>
        <w:t>Will the Marketing Affiliate Rules Attach to the Denver Employees if they Become Northern Plains Employees and What Separations from ENA would be Required?</w:t>
      </w:r>
    </w:p>
    <w:p>
      <w:pPr>
        <w:pStyle w:val="Normal"/>
        <w:widowControl/>
        <w:rPr>
          <w:b/>
          <w:bCs/>
          <w:sz w:val="24"/>
          <w:szCs w:val="24"/>
        </w:rPr>
      </w:pPr>
      <w:r>
        <w:rPr>
          <w:b/>
          <w:bCs/>
          <w:sz w:val="24"/>
          <w:szCs w:val="24"/>
        </w:rPr>
      </w:r>
    </w:p>
    <w:p>
      <w:pPr>
        <w:pStyle w:val="Normal"/>
        <w:widowControl/>
        <w:rPr/>
      </w:pPr>
      <w:r>
        <w:rPr>
          <w:sz w:val="24"/>
          <w:szCs w:val="24"/>
        </w:rPr>
        <w:t xml:space="preserve">Yes.  The Denver employees will be subject to the marketing affiliate rules if they become Northern Plains employees.  NPNG employees are currently regarded as the </w:t>
      </w:r>
      <w:r>
        <w:rPr>
          <w:i/>
          <w:iCs/>
          <w:sz w:val="24"/>
          <w:szCs w:val="24"/>
        </w:rPr>
        <w:t>operating employees</w:t>
      </w:r>
      <w:r>
        <w:rPr>
          <w:sz w:val="24"/>
          <w:szCs w:val="24"/>
        </w:rPr>
        <w:t xml:space="preserve"> of the pipeline.  </w:t>
      </w:r>
      <w:r>
        <w:rPr>
          <w:i/>
          <w:iCs/>
          <w:sz w:val="24"/>
          <w:szCs w:val="24"/>
        </w:rPr>
        <w:t xml:space="preserve">See </w:t>
      </w:r>
      <w:r>
        <w:rPr>
          <w:sz w:val="24"/>
          <w:szCs w:val="24"/>
          <w:u w:val="single"/>
        </w:rPr>
        <w:t>NBPL's Standards of Conduct</w:t>
      </w:r>
      <w:r>
        <w:rPr>
          <w:sz w:val="24"/>
          <w:szCs w:val="24"/>
        </w:rPr>
        <w:t xml:space="preserve">, p.4.  As such, NPNG employees must to the maximum extent practicable function independently from ENA and all other marketing affiliates. </w:t>
      </w:r>
    </w:p>
    <w:p>
      <w:pPr>
        <w:pStyle w:val="Normal"/>
        <w:widowControl/>
        <w:rPr>
          <w:sz w:val="24"/>
          <w:szCs w:val="24"/>
        </w:rPr>
      </w:pPr>
      <w:r>
        <w:rPr>
          <w:sz w:val="24"/>
          <w:szCs w:val="24"/>
        </w:rPr>
      </w:r>
    </w:p>
    <w:p>
      <w:pPr>
        <w:pStyle w:val="Normal"/>
        <w:widowControl/>
        <w:rPr>
          <w:sz w:val="24"/>
          <w:szCs w:val="24"/>
        </w:rPr>
      </w:pPr>
      <w:r>
        <w:rPr>
          <w:sz w:val="24"/>
          <w:szCs w:val="24"/>
        </w:rPr>
        <w:t>The following measures would likely be appropriate if the Denver employees become Northern Plains employees:</w:t>
      </w:r>
    </w:p>
    <w:p>
      <w:pPr>
        <w:pStyle w:val="Normal"/>
        <w:widowControl/>
        <w:rPr>
          <w:sz w:val="24"/>
          <w:szCs w:val="24"/>
        </w:rPr>
      </w:pPr>
      <w:r>
        <w:rPr>
          <w:sz w:val="24"/>
          <w:szCs w:val="24"/>
        </w:rPr>
      </w:r>
    </w:p>
    <w:p>
      <w:pPr>
        <w:pStyle w:val="Normal"/>
        <w:widowControl/>
        <w:numPr>
          <w:ilvl w:val="0"/>
          <w:numId w:val="2"/>
        </w:numPr>
        <w:tabs>
          <w:tab w:val="clear" w:pos="720"/>
          <w:tab w:val="left" w:pos="0" w:leader="none"/>
        </w:tabs>
        <w:ind w:hanging="720" w:start="720" w:end="0"/>
        <w:rPr/>
      </w:pPr>
      <w:r>
        <w:rPr>
          <w:b/>
          <w:bCs/>
          <w:sz w:val="24"/>
          <w:szCs w:val="24"/>
        </w:rPr>
        <w:t xml:space="preserve">Shared Office Space.  </w:t>
      </w:r>
      <w:r>
        <w:rPr>
          <w:sz w:val="24"/>
          <w:szCs w:val="24"/>
        </w:rPr>
        <w:t xml:space="preserve">NBPL must update its Standards of Conduct to disclose the shared office space between NPNG and ENA. While office space sharing is not prohibited, it must be described in a pipeline's Standards of Conduct (and after September 1 it must also be posted on the pipeline web site in compliance with new Section 161.3 (l) (2) (i)). </w:t>
      </w:r>
      <w:r>
        <w:rPr>
          <w:i/>
          <w:iCs/>
          <w:sz w:val="24"/>
          <w:szCs w:val="24"/>
        </w:rPr>
        <w:t xml:space="preserve">See e.g.  </w:t>
      </w:r>
      <w:r>
        <w:rPr>
          <w:sz w:val="24"/>
          <w:szCs w:val="24"/>
          <w:u w:val="single"/>
        </w:rPr>
        <w:t>Transwestern's Standards of Conduct</w:t>
      </w:r>
      <w:r>
        <w:rPr>
          <w:sz w:val="24"/>
          <w:szCs w:val="24"/>
        </w:rPr>
        <w:t xml:space="preserve"> for a description of shared facilities between TW and EES in the Albuquerque, NM office.  NBPL will also want to update other references in its Standards of Conduct, such as the number and location of NBPL employees and statements that indicate the sole responsibility of NPNG employees is to operate NBPL. </w:t>
      </w:r>
    </w:p>
    <w:p>
      <w:pPr>
        <w:pStyle w:val="Normal"/>
        <w:widowControl/>
        <w:numPr>
          <w:ilvl w:val="0"/>
          <w:numId w:val="0"/>
        </w:numPr>
        <w:ind w:hanging="0" w:start="0"/>
        <w:rPr>
          <w:sz w:val="24"/>
          <w:szCs w:val="24"/>
        </w:rPr>
      </w:pPr>
      <w:r>
        <w:rPr>
          <w:sz w:val="24"/>
          <w:szCs w:val="24"/>
        </w:rPr>
      </w:r>
    </w:p>
    <w:p>
      <w:pPr>
        <w:pStyle w:val="Normal"/>
        <w:widowControl/>
        <w:numPr>
          <w:ilvl w:val="0"/>
          <w:numId w:val="2"/>
        </w:numPr>
        <w:tabs>
          <w:tab w:val="clear" w:pos="720"/>
          <w:tab w:val="left" w:pos="0" w:leader="none"/>
        </w:tabs>
        <w:ind w:hanging="720" w:start="720" w:end="0"/>
        <w:rPr/>
      </w:pPr>
      <w:r>
        <w:rPr>
          <w:b/>
          <w:bCs/>
          <w:sz w:val="24"/>
          <w:szCs w:val="24"/>
        </w:rPr>
        <w:t>Employee Transfer Procedures</w:t>
      </w:r>
      <w:r>
        <w:rPr>
          <w:sz w:val="24"/>
          <w:szCs w:val="24"/>
        </w:rPr>
        <w:t xml:space="preserve">.  To the extent the Denver Employees subsequently transfer back to ENA or another marketing affiliate, NBPL will want to document the business justification for the transfer and the precautions taken to ensure that NBPL information (if the Denver employees have access to any NBPL information) is not shared with a marketing affiliate as a result of the transfer.  </w:t>
      </w:r>
      <w:r>
        <w:rPr>
          <w:i/>
          <w:iCs/>
          <w:sz w:val="24"/>
          <w:szCs w:val="24"/>
        </w:rPr>
        <w:t>See</w:t>
      </w:r>
      <w:r>
        <w:rPr>
          <w:sz w:val="24"/>
          <w:szCs w:val="24"/>
        </w:rPr>
        <w:t xml:space="preserve"> </w:t>
      </w:r>
      <w:r>
        <w:rPr>
          <w:sz w:val="24"/>
          <w:szCs w:val="24"/>
          <w:u w:val="single"/>
        </w:rPr>
        <w:t>KN Interstate Gas Transmission</w:t>
      </w:r>
      <w:r>
        <w:rPr>
          <w:sz w:val="24"/>
          <w:szCs w:val="24"/>
        </w:rPr>
        <w:t>, 80 FERC ¶ 61,212 (1997).</w:t>
      </w:r>
    </w:p>
    <w:p>
      <w:pPr>
        <w:pStyle w:val="Normal"/>
        <w:widowControl/>
        <w:numPr>
          <w:ilvl w:val="0"/>
          <w:numId w:val="0"/>
        </w:numPr>
        <w:ind w:hanging="0" w:start="0"/>
        <w:rPr>
          <w:sz w:val="24"/>
          <w:szCs w:val="24"/>
        </w:rPr>
      </w:pPr>
      <w:r>
        <w:rPr>
          <w:sz w:val="24"/>
          <w:szCs w:val="24"/>
        </w:rPr>
      </w:r>
    </w:p>
    <w:p>
      <w:pPr>
        <w:pStyle w:val="Normal"/>
        <w:widowControl/>
        <w:numPr>
          <w:ilvl w:val="0"/>
          <w:numId w:val="2"/>
        </w:numPr>
        <w:tabs>
          <w:tab w:val="clear" w:pos="720"/>
          <w:tab w:val="left" w:pos="0" w:leader="none"/>
        </w:tabs>
        <w:ind w:hanging="360" w:start="720" w:end="0"/>
        <w:rPr/>
      </w:pPr>
      <w:r>
        <w:rPr>
          <w:b/>
          <w:bCs/>
          <w:sz w:val="24"/>
          <w:szCs w:val="24"/>
        </w:rPr>
        <w:t>Operating Independently</w:t>
      </w:r>
      <w:r>
        <w:rPr>
          <w:sz w:val="24"/>
          <w:szCs w:val="24"/>
        </w:rPr>
        <w:t>.  Because NPNG employees operate NBPL they are required to operate independently from ENA (i.e. no sharing of pipeline and marketing affiliate operating personnel).   This poses the most significant drawback of having the Denver employees working for NPNG.  It is my understanding that the parties would like for the Purchase and Sale agreement to agree on a cooperative strategy between the NEWCO and ENA, including combined use of ENA's expertise in commodity trading and derivatives and the ability for the Denver employees to work on combined asset and commodity deals.   This type of cooperative arrangement is not tenable between NPNG and ENA employees.</w:t>
      </w:r>
    </w:p>
    <w:p>
      <w:pPr>
        <w:pStyle w:val="Normal"/>
        <w:widowControl/>
        <w:rPr>
          <w:sz w:val="24"/>
          <w:szCs w:val="24"/>
        </w:rPr>
      </w:pPr>
      <w:r>
        <w:rPr>
          <w:sz w:val="24"/>
          <w:szCs w:val="24"/>
        </w:rPr>
      </w:r>
    </w:p>
    <w:p>
      <w:pPr>
        <w:pStyle w:val="Normal"/>
        <w:widowControl/>
        <w:rPr>
          <w:b/>
          <w:bCs/>
          <w:sz w:val="24"/>
          <w:szCs w:val="24"/>
        </w:rPr>
      </w:pPr>
      <w:r>
        <w:rPr>
          <w:b/>
          <w:bCs/>
          <w:sz w:val="24"/>
          <w:szCs w:val="24"/>
        </w:rPr>
        <w:t>Alternative Structure</w:t>
      </w:r>
    </w:p>
    <w:p>
      <w:pPr>
        <w:pStyle w:val="Normal"/>
        <w:widowControl/>
        <w:rPr>
          <w:sz w:val="24"/>
          <w:szCs w:val="24"/>
        </w:rPr>
      </w:pPr>
      <w:r>
        <w:rPr>
          <w:sz w:val="24"/>
          <w:szCs w:val="24"/>
        </w:rPr>
        <w:t xml:space="preserve">Given the desire to create a structure in which cooperative arrangements are possible, NBP should consider transferring the Denver employees to an entity that has no pipeline operating responsibilities (such as the Enron company that currently performs administrative services for NBP, NBP Energy Services Corp.).  </w:t>
      </w:r>
    </w:p>
    <w:p>
      <w:pPr>
        <w:pStyle w:val="Normal"/>
        <w:widowControl/>
        <w:rPr>
          <w:sz w:val="24"/>
          <w:szCs w:val="24"/>
        </w:rPr>
      </w:pPr>
      <w:r>
        <w:rPr>
          <w:sz w:val="24"/>
          <w:szCs w:val="24"/>
        </w:rPr>
      </w:r>
    </w:p>
    <w:p>
      <w:pPr>
        <w:pStyle w:val="Normal"/>
        <w:widowControl/>
        <w:rPr>
          <w:sz w:val="24"/>
          <w:szCs w:val="24"/>
        </w:rPr>
      </w:pPr>
      <w:r>
        <w:rPr>
          <w:sz w:val="24"/>
          <w:szCs w:val="24"/>
        </w:rPr>
        <w:t xml:space="preserve">In addition to establishing the proper payroll company, it is also important to set up firewalls so that the Denver employees would not be "deemed shared" with the pipeline employees by virtue of having access to pipeline transportation or shipper information.  Some suggestions include: separate computer access, no joint meetings in which NBPL </w:t>
      </w:r>
    </w:p>
    <w:p>
      <w:pPr>
        <w:pStyle w:val="Normal"/>
        <w:widowControl/>
        <w:rPr>
          <w:sz w:val="24"/>
          <w:szCs w:val="24"/>
        </w:rPr>
      </w:pPr>
      <w:r>
        <w:rPr>
          <w:sz w:val="24"/>
          <w:szCs w:val="24"/>
        </w:rPr>
        <w:t xml:space="preserve">markets, contracts, or expansions are discussed, etc.  </w:t>
      </w:r>
    </w:p>
    <w:p>
      <w:pPr>
        <w:pStyle w:val="Normal"/>
        <w:widowControl/>
        <w:rPr>
          <w:sz w:val="24"/>
          <w:szCs w:val="24"/>
        </w:rPr>
      </w:pPr>
      <w:r>
        <w:rPr>
          <w:sz w:val="24"/>
          <w:szCs w:val="24"/>
        </w:rPr>
      </w:r>
    </w:p>
    <w:p>
      <w:pPr>
        <w:pStyle w:val="Normal"/>
        <w:widowControl/>
        <w:rPr>
          <w:sz w:val="24"/>
          <w:szCs w:val="24"/>
        </w:rPr>
      </w:pPr>
      <w:r>
        <w:rPr>
          <w:sz w:val="24"/>
          <w:szCs w:val="24"/>
        </w:rPr>
        <w:t xml:space="preserve">With these measures, NEWCO and the Denver employees will operate independently from NBPL and will thus maintain the flexibility to work on arrangements with ENA. </w:t>
      </w:r>
    </w:p>
    <w:sectPr>
      <w:type w:val="nextPage"/>
      <w:pgSz w:w="12240" w:h="15840"/>
      <w:pgMar w:left="1800" w:right="1800" w:gutter="0" w:header="0" w:top="99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color w:val="000000"/>
      <w:u w:val="single"/>
    </w:rPr>
  </w:style>
  <w:style w:type="paragraph" w:styleId="Heading5">
    <w:name w:val="heading 5"/>
    <w:basedOn w:val="Normal"/>
    <w:next w:val="Normal"/>
    <w:qFormat/>
    <w:pPr>
      <w:keepNext w:val="true"/>
      <w:numPr>
        <w:ilvl w:val="4"/>
        <w:numId w:val="1"/>
      </w:numPr>
      <w:outlineLvl w:val="4"/>
    </w:pPr>
    <w:rPr>
      <w:b/>
      <w:bCs/>
      <w:sz w:val="24"/>
      <w:szCs w:val="24"/>
      <w:u w:val="single"/>
    </w:rPr>
  </w:style>
  <w:style w:type="paragraph" w:styleId="Heading6">
    <w:name w:val="heading 6"/>
    <w:basedOn w:val="Normal"/>
    <w:next w:val="Normal"/>
    <w:qFormat/>
    <w:pPr>
      <w:keepNext w:val="true"/>
      <w:numPr>
        <w:ilvl w:val="5"/>
        <w:numId w:val="1"/>
      </w:numPr>
      <w:outlineLvl w:val="5"/>
    </w:pPr>
    <w:rPr>
      <w:sz w:val="24"/>
      <w:szCs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2000-07-25T20:36:00Z</dcterms:created>
  <dc:creator>ET&amp;S LAN Support</dc:creator>
  <dc:description/>
  <dc:language>en-CA</dc:language>
  <cp:lastModifiedBy>scorman</cp:lastModifiedBy>
  <cp:lastPrinted>2000-07-25T17:41:00Z</cp:lastPrinted>
  <dcterms:modified xsi:type="dcterms:W3CDTF">2000-08-22T20:16:00Z</dcterms:modified>
  <cp:revision>13</cp:revision>
  <dc:subject/>
  <dc:title>DRAFT</dc:title>
</cp:coreProperties>
</file>