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POTENTIAL WESSEX SALE - PROGRESS REPORT</w:t>
      </w:r>
    </w:p>
    <w:p>
      <w:pPr>
        <w:pStyle w:val="Heading"/>
        <w:rPr/>
      </w:pPr>
      <w:r>
        <w:rPr/>
        <w:t>Monday 26 November 2001</w:t>
      </w:r>
    </w:p>
    <w:p>
      <w:pPr>
        <w:pStyle w:val="Normal"/>
        <w:rPr/>
      </w:pPr>
      <w:r>
        <w:rPr/>
      </w:r>
    </w:p>
    <w:p>
      <w:pPr>
        <w:pStyle w:val="Normal"/>
        <w:rPr/>
      </w:pPr>
      <w:r>
        <w:rPr/>
      </w:r>
    </w:p>
    <w:p>
      <w:pPr>
        <w:pStyle w:val="Normal"/>
        <w:rPr>
          <w:b/>
        </w:rPr>
      </w:pPr>
      <w:r>
        <w:rPr>
          <w:b/>
        </w:rPr>
        <w:t>Introduction</w:t>
      </w:r>
    </w:p>
    <w:p>
      <w:pPr>
        <w:pStyle w:val="Normal"/>
        <w:rPr/>
      </w:pPr>
      <w:r>
        <w:rPr/>
      </w:r>
    </w:p>
    <w:p>
      <w:pPr>
        <w:pStyle w:val="Normal"/>
        <w:rPr/>
      </w:pPr>
      <w:r>
        <w:rPr/>
        <w:t xml:space="preserve">Keith Harris (Wessex CFO) and I have continued to review potential buyers for Wessex Water on the understanding that, whilst Enron have indicated Wessex will be sold, the timetable is not yet set.  </w:t>
      </w:r>
    </w:p>
    <w:p>
      <w:pPr>
        <w:pStyle w:val="Normal"/>
        <w:rPr/>
      </w:pPr>
      <w:r>
        <w:rPr/>
      </w:r>
    </w:p>
    <w:p>
      <w:pPr>
        <w:pStyle w:val="Normal"/>
        <w:rPr/>
      </w:pPr>
      <w:r>
        <w:rPr/>
        <w:t>We have had direct contacts with Royal Bank of Scotland (RBS), WestLB, Barclays, Citibank, Earth Tech and Pennon Water.   We have also discussed the potential transaction with the UK regulator, OFWAT.</w:t>
      </w:r>
    </w:p>
    <w:p>
      <w:pPr>
        <w:pStyle w:val="Normal"/>
        <w:rPr/>
      </w:pPr>
      <w:r>
        <w:rPr/>
      </w:r>
    </w:p>
    <w:p>
      <w:pPr>
        <w:pStyle w:val="Normal"/>
        <w:rPr>
          <w:b/>
        </w:rPr>
      </w:pPr>
      <w:r>
        <w:rPr>
          <w:b/>
        </w:rPr>
        <w:t>Objectives of Sale</w:t>
      </w:r>
    </w:p>
    <w:p>
      <w:pPr>
        <w:pStyle w:val="Header"/>
        <w:tabs>
          <w:tab w:val="clear" w:pos="4153"/>
          <w:tab w:val="clear" w:pos="8306"/>
        </w:tabs>
        <w:rPr/>
      </w:pPr>
      <w:r>
        <w:rPr/>
      </w:r>
    </w:p>
    <w:p>
      <w:pPr>
        <w:pStyle w:val="Normal"/>
        <w:numPr>
          <w:ilvl w:val="0"/>
          <w:numId w:val="3"/>
        </w:numPr>
        <w:rPr>
          <w:lang w:eastAsia="en-US"/>
        </w:rPr>
      </w:pPr>
      <w:r>
        <w:rPr>
          <w:lang w:eastAsia="en-US"/>
        </w:rPr>
        <w:t>Maximise value to Enron.</w:t>
      </w:r>
    </w:p>
    <w:p>
      <w:pPr>
        <w:pStyle w:val="Normal"/>
        <w:numPr>
          <w:ilvl w:val="0"/>
          <w:numId w:val="5"/>
        </w:numPr>
        <w:rPr>
          <w:lang w:eastAsia="en-US"/>
        </w:rPr>
      </w:pPr>
      <w:r>
        <w:rPr>
          <w:lang w:eastAsia="en-US"/>
        </w:rPr>
        <w:t>Speedy sale without regulatory complications.</w:t>
      </w:r>
    </w:p>
    <w:p>
      <w:pPr>
        <w:pStyle w:val="Normal"/>
        <w:numPr>
          <w:ilvl w:val="0"/>
          <w:numId w:val="7"/>
        </w:numPr>
        <w:rPr>
          <w:lang w:eastAsia="en-US"/>
        </w:rPr>
      </w:pPr>
      <w:r>
        <w:rPr>
          <w:lang w:eastAsia="en-US"/>
        </w:rPr>
        <w:t>Long-term stable investors for Wessex Water.</w:t>
      </w:r>
    </w:p>
    <w:p>
      <w:pPr>
        <w:pStyle w:val="Normal"/>
        <w:rPr>
          <w:lang w:eastAsia="en-US"/>
        </w:rPr>
      </w:pPr>
      <w:r>
        <w:rPr>
          <w:lang w:eastAsia="en-US"/>
        </w:rPr>
      </w:r>
    </w:p>
    <w:p>
      <w:pPr>
        <w:pStyle w:val="Normal"/>
        <w:rPr>
          <w:lang w:eastAsia="en-US"/>
        </w:rPr>
      </w:pPr>
      <w:r>
        <w:rPr>
          <w:lang w:eastAsia="en-US"/>
        </w:rPr>
        <w:t xml:space="preserve">The sale will be facilitated if the Wessex Water Board support the proposals.  </w:t>
      </w:r>
    </w:p>
    <w:p>
      <w:pPr>
        <w:pStyle w:val="Normal"/>
        <w:rPr>
          <w:lang w:eastAsia="en-US"/>
        </w:rPr>
      </w:pPr>
      <w:r>
        <w:rPr>
          <w:lang w:eastAsia="en-US"/>
        </w:rPr>
      </w:r>
    </w:p>
    <w:p>
      <w:pPr>
        <w:pStyle w:val="Normal"/>
        <w:rPr>
          <w:b/>
          <w:lang w:eastAsia="en-US"/>
        </w:rPr>
      </w:pPr>
      <w:r>
        <w:rPr>
          <w:b/>
          <w:lang w:eastAsia="en-US"/>
        </w:rPr>
        <w:t>Potential Buyers</w:t>
      </w:r>
    </w:p>
    <w:p>
      <w:pPr>
        <w:pStyle w:val="Normal"/>
        <w:rPr>
          <w:b/>
          <w:lang w:eastAsia="en-US"/>
        </w:rPr>
      </w:pPr>
      <w:r>
        <w:rPr>
          <w:b/>
          <w:lang w:eastAsia="en-US"/>
        </w:rPr>
      </w:r>
    </w:p>
    <w:p>
      <w:pPr>
        <w:pStyle w:val="BodyText2"/>
        <w:rPr/>
      </w:pPr>
      <w:r>
        <w:rPr/>
        <w:t>Strategic buyers</w:t>
      </w:r>
      <w:r>
        <w:rPr>
          <w:b w:val="false"/>
        </w:rPr>
        <w:t xml:space="preserve"> - These have already been contacted with no confirmed interest.  Evidence from the abortive Southern Water sale shows no one willing to pay more than RAB values.</w:t>
      </w:r>
    </w:p>
    <w:p>
      <w:pPr>
        <w:pStyle w:val="Normal"/>
        <w:rPr>
          <w:b/>
          <w:lang w:eastAsia="en-US"/>
        </w:rPr>
      </w:pPr>
      <w:r>
        <w:rPr>
          <w:b/>
          <w:lang w:eastAsia="en-US"/>
        </w:rPr>
      </w:r>
    </w:p>
    <w:p>
      <w:pPr>
        <w:pStyle w:val="BodyText2"/>
        <w:rPr/>
      </w:pPr>
      <w:r>
        <w:rPr/>
        <w:t>Other UK water companies</w:t>
      </w:r>
      <w:r>
        <w:rPr>
          <w:b w:val="false"/>
        </w:rPr>
        <w:t xml:space="preserve"> - There would be severe water regulatory issues, OFWAT will oppose and a mandatory Competition Commission reference will introduce at least a nine-month delay.  The only way this becomes a viable alternative is if OFWAT were to agree to a merger which, based on past history and their current stance, it is highly unlikely. </w:t>
      </w:r>
    </w:p>
    <w:p>
      <w:pPr>
        <w:pStyle w:val="Normal"/>
        <w:rPr>
          <w:b/>
          <w:lang w:eastAsia="en-US"/>
        </w:rPr>
      </w:pPr>
      <w:r>
        <w:rPr>
          <w:b/>
          <w:lang w:eastAsia="en-US"/>
        </w:rPr>
      </w:r>
    </w:p>
    <w:p>
      <w:pPr>
        <w:pStyle w:val="BodyText2"/>
        <w:rPr/>
      </w:pPr>
      <w:r>
        <w:rPr/>
        <w:t>Financial investors</w:t>
      </w:r>
      <w:r>
        <w:rPr>
          <w:b w:val="false"/>
        </w:rPr>
        <w:t xml:space="preserve"> - These are natural buyers for the safe low yield water investments and a number have already expressed interest.  They are unlikely to pay more than RAB value.</w:t>
      </w:r>
    </w:p>
    <w:p>
      <w:pPr>
        <w:pStyle w:val="Normal"/>
        <w:rPr>
          <w:b/>
        </w:rPr>
      </w:pPr>
      <w:r>
        <w:rPr>
          <w:b/>
        </w:rPr>
      </w:r>
    </w:p>
    <w:p>
      <w:pPr>
        <w:pStyle w:val="Normal"/>
        <w:rPr>
          <w:b/>
        </w:rPr>
      </w:pPr>
      <w:r>
        <w:rPr>
          <w:b/>
        </w:rPr>
        <w:t>OFWAT View</w:t>
      </w:r>
    </w:p>
    <w:p>
      <w:pPr>
        <w:pStyle w:val="Normal"/>
        <w:rPr/>
      </w:pPr>
      <w:r>
        <w:rPr/>
      </w:r>
    </w:p>
    <w:p>
      <w:pPr>
        <w:pStyle w:val="Normal"/>
        <w:rPr/>
      </w:pPr>
      <w:r>
        <w:rPr/>
        <w:t>Any bidder owning or having a material influence (&gt;15%) in an existing UK water company will face a mandatory reference to the UK Competition Commission.  This would take 6-9 months to resolve.  The Director General of Water Services will oppose any combination of water and sewerage companies.</w:t>
      </w:r>
    </w:p>
    <w:p>
      <w:pPr>
        <w:pStyle w:val="Normal"/>
        <w:rPr/>
      </w:pPr>
      <w:r>
        <w:rPr/>
      </w:r>
    </w:p>
    <w:p>
      <w:pPr>
        <w:pStyle w:val="Normal"/>
        <w:rPr/>
      </w:pPr>
      <w:r>
        <w:rPr/>
        <w:t>Reputable financial buyers will be acceptable, minor licence modifications may be required.  The timetable can be short, a few weeks at most.</w:t>
      </w:r>
    </w:p>
    <w:p>
      <w:pPr>
        <w:pStyle w:val="Normal"/>
        <w:rPr/>
      </w:pPr>
      <w:r>
        <w:rPr/>
      </w:r>
    </w:p>
    <w:p>
      <w:pPr>
        <w:pStyle w:val="Normal"/>
        <w:rPr/>
      </w:pPr>
      <w:r>
        <w:rPr/>
        <w:t>Structures of around 85% investment grade debt with 15% mezzanine debt/equity would be acceptable providing the “equity” cushion is sufficient to deal with unforeseen risk and there are real incentives for management to outperform.</w:t>
      </w:r>
    </w:p>
    <w:p>
      <w:pPr>
        <w:pStyle w:val="Normal"/>
        <w:rPr/>
      </w:pPr>
      <w:r>
        <w:rPr/>
      </w:r>
    </w:p>
    <w:p>
      <w:pPr>
        <w:pStyle w:val="Normal"/>
        <w:rPr/>
      </w:pPr>
      <w:r>
        <w:rPr/>
        <w:t>The view of the Wessex Water Services Board will be important to the Director General.</w:t>
      </w:r>
    </w:p>
    <w:p>
      <w:pPr>
        <w:pStyle w:val="Normal"/>
        <w:rPr/>
      </w:pPr>
      <w:r>
        <w:rPr/>
      </w:r>
    </w:p>
    <w:p>
      <w:pPr>
        <w:pStyle w:val="Normal"/>
        <w:rPr>
          <w:b/>
        </w:rPr>
      </w:pPr>
      <w:r>
        <w:rPr>
          <w:b/>
        </w:rPr>
        <w:t>Leading Contenders</w:t>
      </w:r>
    </w:p>
    <w:p>
      <w:pPr>
        <w:pStyle w:val="Normal"/>
        <w:rPr/>
      </w:pPr>
      <w:r>
        <w:rPr/>
      </w:r>
    </w:p>
    <w:p>
      <w:pPr>
        <w:pStyle w:val="Normal"/>
        <w:rPr/>
      </w:pPr>
      <w:r>
        <w:rPr/>
        <w:t>RBS and WestLB have been the most active, both have the ability to move quickly and the experience and resources to do the deal.  Barclays are also active but have been slower to get started.</w:t>
      </w:r>
    </w:p>
    <w:p>
      <w:pPr>
        <w:pStyle w:val="Normal"/>
        <w:rPr/>
      </w:pPr>
      <w:r>
        <w:rPr/>
      </w:r>
    </w:p>
    <w:p>
      <w:pPr>
        <w:pStyle w:val="Normal"/>
        <w:rPr>
          <w:b/>
        </w:rPr>
      </w:pPr>
      <w:r>
        <w:rPr>
          <w:b/>
        </w:rPr>
        <w:t>RBS</w:t>
      </w:r>
    </w:p>
    <w:p>
      <w:pPr>
        <w:pStyle w:val="Normal"/>
        <w:rPr/>
      </w:pPr>
      <w:r>
        <w:rPr/>
      </w:r>
    </w:p>
    <w:p>
      <w:pPr>
        <w:pStyle w:val="Normal"/>
        <w:numPr>
          <w:ilvl w:val="0"/>
          <w:numId w:val="6"/>
        </w:numPr>
        <w:rPr/>
      </w:pPr>
      <w:r>
        <w:rPr/>
        <w:t>Offer is at or around a RAB value of £1.3 billion</w:t>
      </w:r>
    </w:p>
    <w:p>
      <w:pPr>
        <w:pStyle w:val="Normal"/>
        <w:numPr>
          <w:ilvl w:val="0"/>
          <w:numId w:val="6"/>
        </w:numPr>
        <w:rPr/>
      </w:pPr>
      <w:r>
        <w:rPr/>
        <w:t>Fees will be around £40 million</w:t>
      </w:r>
    </w:p>
    <w:p>
      <w:pPr>
        <w:pStyle w:val="Normal"/>
        <w:numPr>
          <w:ilvl w:val="0"/>
          <w:numId w:val="6"/>
        </w:numPr>
        <w:rPr/>
      </w:pPr>
      <w:r>
        <w:rPr/>
        <w:t>Only regulatory issue is their 45% holding in a small water only company, Brockhampton, but will sell down to avoid Competition Commission reference</w:t>
      </w:r>
    </w:p>
    <w:p>
      <w:pPr>
        <w:pStyle w:val="Normal"/>
        <w:numPr>
          <w:ilvl w:val="0"/>
          <w:numId w:val="6"/>
        </w:numPr>
        <w:rPr/>
      </w:pPr>
      <w:r>
        <w:rPr/>
        <w:t>Will provide both debt and equity, but may sell some of the equity</w:t>
      </w:r>
    </w:p>
    <w:p>
      <w:pPr>
        <w:pStyle w:val="Normal"/>
        <w:numPr>
          <w:ilvl w:val="0"/>
          <w:numId w:val="6"/>
        </w:numPr>
        <w:rPr/>
      </w:pPr>
      <w:r>
        <w:rPr/>
        <w:t>Acceptable to the Regulator providing they reduce their holding in Brockhampton to below 15%</w:t>
      </w:r>
    </w:p>
    <w:p>
      <w:pPr>
        <w:pStyle w:val="Normal"/>
        <w:numPr>
          <w:ilvl w:val="0"/>
          <w:numId w:val="6"/>
        </w:numPr>
        <w:rPr/>
      </w:pPr>
      <w:r>
        <w:rPr/>
        <w:t>Will incentivise management and employees</w:t>
      </w:r>
    </w:p>
    <w:p>
      <w:pPr>
        <w:pStyle w:val="Normal"/>
        <w:numPr>
          <w:ilvl w:val="0"/>
          <w:numId w:val="6"/>
        </w:numPr>
        <w:rPr/>
      </w:pPr>
      <w:r>
        <w:rPr/>
        <w:t>Proposal acceptable to Wessex Water Services Board and management</w:t>
      </w:r>
    </w:p>
    <w:p>
      <w:pPr>
        <w:pStyle w:val="Normal"/>
        <w:numPr>
          <w:ilvl w:val="0"/>
          <w:numId w:val="6"/>
        </w:numPr>
        <w:rPr/>
      </w:pPr>
      <w:r>
        <w:rPr/>
        <w:t>Can move quickly with closure first quarter of 2002</w:t>
      </w:r>
    </w:p>
    <w:p>
      <w:pPr>
        <w:pStyle w:val="Normal"/>
        <w:rPr/>
      </w:pPr>
      <w:r>
        <w:rPr/>
      </w:r>
    </w:p>
    <w:p>
      <w:pPr>
        <w:pStyle w:val="Normal"/>
        <w:rPr>
          <w:b/>
        </w:rPr>
      </w:pPr>
      <w:r>
        <w:rPr>
          <w:b/>
        </w:rPr>
        <w:t>WestLB</w:t>
      </w:r>
    </w:p>
    <w:p>
      <w:pPr>
        <w:pStyle w:val="Normal"/>
        <w:rPr>
          <w:b/>
        </w:rPr>
      </w:pPr>
      <w:r>
        <w:rPr>
          <w:b/>
        </w:rPr>
      </w:r>
    </w:p>
    <w:p>
      <w:pPr>
        <w:pStyle w:val="Normal"/>
        <w:numPr>
          <w:ilvl w:val="0"/>
          <w:numId w:val="8"/>
        </w:numPr>
        <w:rPr/>
      </w:pPr>
      <w:r>
        <w:rPr/>
        <w:t>Offer to be submitted this week at around £1.26 billion</w:t>
      </w:r>
    </w:p>
    <w:p>
      <w:pPr>
        <w:pStyle w:val="Normal"/>
        <w:numPr>
          <w:ilvl w:val="0"/>
          <w:numId w:val="8"/>
        </w:numPr>
        <w:rPr/>
      </w:pPr>
      <w:r>
        <w:rPr/>
        <w:t>Fees around £30 million</w:t>
      </w:r>
    </w:p>
    <w:p>
      <w:pPr>
        <w:pStyle w:val="Normal"/>
        <w:numPr>
          <w:ilvl w:val="0"/>
          <w:numId w:val="8"/>
        </w:numPr>
        <w:rPr/>
      </w:pPr>
      <w:r>
        <w:rPr/>
        <w:t>Regulatory issue is their ownership of Mid Kent water company. They have agreed with the Regulator that they would sell down to avoid Competition Commission reference</w:t>
      </w:r>
    </w:p>
    <w:p>
      <w:pPr>
        <w:pStyle w:val="Normal"/>
        <w:numPr>
          <w:ilvl w:val="0"/>
          <w:numId w:val="8"/>
        </w:numPr>
        <w:rPr/>
      </w:pPr>
      <w:r>
        <w:rPr/>
        <w:t>May offer to take on the problem of the high yield bonds and sort these out</w:t>
      </w:r>
    </w:p>
    <w:p>
      <w:pPr>
        <w:pStyle w:val="Normal"/>
        <w:numPr>
          <w:ilvl w:val="0"/>
          <w:numId w:val="8"/>
        </w:numPr>
        <w:rPr/>
      </w:pPr>
      <w:r>
        <w:rPr/>
        <w:t>Will provide both debt and equity</w:t>
      </w:r>
    </w:p>
    <w:p>
      <w:pPr>
        <w:pStyle w:val="Normal"/>
        <w:numPr>
          <w:ilvl w:val="0"/>
          <w:numId w:val="8"/>
        </w:numPr>
        <w:rPr/>
      </w:pPr>
      <w:r>
        <w:rPr/>
        <w:t>Will incentivise both management and employees</w:t>
      </w:r>
    </w:p>
    <w:p>
      <w:pPr>
        <w:pStyle w:val="Normal"/>
        <w:numPr>
          <w:ilvl w:val="0"/>
          <w:numId w:val="8"/>
        </w:numPr>
        <w:rPr/>
      </w:pPr>
      <w:r>
        <w:rPr/>
        <w:t>Proposals are acceptable to Wessex Water Services Board and management</w:t>
      </w:r>
    </w:p>
    <w:p>
      <w:pPr>
        <w:pStyle w:val="Normal"/>
        <w:numPr>
          <w:ilvl w:val="0"/>
          <w:numId w:val="8"/>
        </w:numPr>
        <w:rPr/>
      </w:pPr>
      <w:r>
        <w:rPr/>
        <w:t>Again, they can move quickly with closure first quarter of 2002</w:t>
      </w:r>
    </w:p>
    <w:p>
      <w:pPr>
        <w:pStyle w:val="Header"/>
        <w:tabs>
          <w:tab w:val="clear" w:pos="4153"/>
          <w:tab w:val="clear" w:pos="8306"/>
        </w:tabs>
        <w:rPr/>
      </w:pPr>
      <w:r>
        <w:rPr/>
      </w:r>
    </w:p>
    <w:p>
      <w:pPr>
        <w:pStyle w:val="Header"/>
        <w:tabs>
          <w:tab w:val="clear" w:pos="4153"/>
          <w:tab w:val="clear" w:pos="8306"/>
        </w:tabs>
        <w:rPr>
          <w:b/>
        </w:rPr>
      </w:pPr>
      <w:r>
        <w:rPr>
          <w:b/>
        </w:rPr>
        <w:t>Barclays</w:t>
      </w:r>
    </w:p>
    <w:p>
      <w:pPr>
        <w:pStyle w:val="Header"/>
        <w:tabs>
          <w:tab w:val="clear" w:pos="4153"/>
          <w:tab w:val="clear" w:pos="8306"/>
        </w:tabs>
        <w:rPr/>
      </w:pPr>
      <w:r>
        <w:rPr/>
      </w:r>
    </w:p>
    <w:p>
      <w:pPr>
        <w:pStyle w:val="Header"/>
        <w:numPr>
          <w:ilvl w:val="0"/>
          <w:numId w:val="4"/>
        </w:numPr>
        <w:tabs>
          <w:tab w:val="clear" w:pos="4153"/>
          <w:tab w:val="clear" w:pos="8306"/>
        </w:tabs>
        <w:rPr/>
      </w:pPr>
      <w:r>
        <w:rPr/>
        <w:t>Offer around RAB value - probably nearer to £1.3 billion than £1.26 billion</w:t>
      </w:r>
    </w:p>
    <w:p>
      <w:pPr>
        <w:pStyle w:val="Header"/>
        <w:numPr>
          <w:ilvl w:val="0"/>
          <w:numId w:val="4"/>
        </w:numPr>
        <w:tabs>
          <w:tab w:val="clear" w:pos="4153"/>
          <w:tab w:val="clear" w:pos="8306"/>
        </w:tabs>
        <w:rPr/>
      </w:pPr>
      <w:r>
        <w:rPr/>
        <w:t>85% investment grade debt, residual split between sub investment grade and equity</w:t>
      </w:r>
    </w:p>
    <w:p>
      <w:pPr>
        <w:pStyle w:val="Header"/>
        <w:numPr>
          <w:ilvl w:val="0"/>
          <w:numId w:val="4"/>
        </w:numPr>
        <w:tabs>
          <w:tab w:val="clear" w:pos="4153"/>
          <w:tab w:val="clear" w:pos="8306"/>
        </w:tabs>
        <w:rPr/>
      </w:pPr>
      <w:r>
        <w:rPr/>
        <w:t>Will take at least one third of the equity and maybe all</w:t>
      </w:r>
    </w:p>
    <w:p>
      <w:pPr>
        <w:pStyle w:val="Header"/>
        <w:numPr>
          <w:ilvl w:val="0"/>
          <w:numId w:val="4"/>
        </w:numPr>
        <w:tabs>
          <w:tab w:val="clear" w:pos="4153"/>
          <w:tab w:val="clear" w:pos="8306"/>
        </w:tabs>
        <w:rPr/>
      </w:pPr>
      <w:r>
        <w:rPr/>
        <w:t>No regulatory issues at all</w:t>
      </w:r>
    </w:p>
    <w:p>
      <w:pPr>
        <w:pStyle w:val="Header"/>
        <w:numPr>
          <w:ilvl w:val="0"/>
          <w:numId w:val="4"/>
        </w:numPr>
        <w:tabs>
          <w:tab w:val="clear" w:pos="4153"/>
          <w:tab w:val="clear" w:pos="8306"/>
        </w:tabs>
        <w:rPr/>
      </w:pPr>
      <w:r>
        <w:rPr/>
        <w:t>Will incentivise management and employees</w:t>
      </w:r>
    </w:p>
    <w:p>
      <w:pPr>
        <w:pStyle w:val="Header"/>
        <w:numPr>
          <w:ilvl w:val="0"/>
          <w:numId w:val="4"/>
        </w:numPr>
        <w:tabs>
          <w:tab w:val="clear" w:pos="4153"/>
          <w:tab w:val="clear" w:pos="8306"/>
        </w:tabs>
        <w:rPr/>
      </w:pPr>
      <w:r>
        <w:rPr/>
        <w:t>Again, can move relatively quickly once internal approval obtained</w:t>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b/>
        </w:rPr>
      </w:pPr>
      <w:r>
        <w:rPr>
          <w:b/>
        </w:rPr>
        <w:t>Colin Skellett</w:t>
      </w:r>
    </w:p>
    <w:p>
      <w:pPr>
        <w:pStyle w:val="Header"/>
        <w:tabs>
          <w:tab w:val="clear" w:pos="4153"/>
          <w:tab w:val="clear" w:pos="8306"/>
        </w:tabs>
        <w:rPr>
          <w:b/>
        </w:rPr>
      </w:pPr>
      <w:r>
        <w:rPr>
          <w:b/>
        </w:rPr>
        <w:t>26 November 2001</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ZapfHumnst BT">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lvl w:ilvl="1">
      <w:start w:val="1"/>
      <w:numFmt w:val="decimal"/>
      <w:lvlText w:val="%1.%2"/>
      <w:lvlJc w:val="start"/>
      <w:pPr>
        <w:tabs>
          <w:tab w:val="num" w:pos="0"/>
        </w:tabs>
        <w:ind w:start="0" w:hanging="0"/>
      </w:pPr>
    </w:lvl>
    <w:lvl w:ilvl="2">
      <w:start w:val="1"/>
      <w:numFmt w:val="decimal"/>
      <w:lvlText w:val="%1.%2.%3"/>
      <w:lvlJc w:val="start"/>
      <w:pPr>
        <w:tabs>
          <w:tab w:val="num" w:pos="0"/>
        </w:tabs>
        <w:ind w:start="0" w:hanging="0"/>
      </w:pPr>
    </w:lvl>
    <w:lvl w:ilvl="3">
      <w:start w:val="1"/>
      <w:numFmt w:val="decimal"/>
      <w:lvlText w:val="%1.%2.%3.%4"/>
      <w:lvlJc w:val="start"/>
      <w:pPr>
        <w:tabs>
          <w:tab w:val="num" w:pos="0"/>
        </w:tabs>
        <w:ind w:start="0" w:hanging="0"/>
      </w:pPr>
    </w:lvl>
    <w:lvl w:ilvl="4">
      <w:start w:val="1"/>
      <w:numFmt w:val="decimal"/>
      <w:lvlText w:val="%1.%2.%3.%4.%5"/>
      <w:lvlJc w:val="start"/>
      <w:pPr>
        <w:tabs>
          <w:tab w:val="num" w:pos="0"/>
        </w:tabs>
        <w:ind w:start="0" w:hanging="0"/>
      </w:pPr>
    </w:lvl>
    <w:lvl w:ilvl="5">
      <w:start w:val="1"/>
      <w:numFmt w:val="decimal"/>
      <w:lvlText w:val="%1.%2.%3.%4.%5.%6"/>
      <w:lvlJc w:val="start"/>
      <w:pPr>
        <w:tabs>
          <w:tab w:val="num" w:pos="0"/>
        </w:tabs>
        <w:ind w:start="0" w:hanging="0"/>
      </w:pPr>
    </w:lvl>
    <w:lvl w:ilvl="6">
      <w:start w:val="1"/>
      <w:numFmt w:val="decimal"/>
      <w:lvlText w:val="%1.%2.%3.%4.%5.%6.%7"/>
      <w:lvlJc w:val="start"/>
      <w:pPr>
        <w:tabs>
          <w:tab w:val="num" w:pos="0"/>
        </w:tabs>
        <w:ind w:start="0" w:hanging="0"/>
      </w:pPr>
    </w:lvl>
    <w:lvl w:ilvl="7">
      <w:start w:val="1"/>
      <w:numFmt w:val="decimal"/>
      <w:lvlText w:val="%1.%2.%3.%4.%5.%6.%7.%8"/>
      <w:lvlJc w:val="start"/>
      <w:pPr>
        <w:tabs>
          <w:tab w:val="num" w:pos="0"/>
        </w:tabs>
        <w:ind w:start="0" w:hanging="0"/>
      </w:pPr>
    </w:lvl>
    <w:lvl w:ilvl="8">
      <w:start w:val="1"/>
      <w:numFmt w:val="decimal"/>
      <w:lvlText w:val="%1.%2.%3.%4.%5.%6.%7.%8.%9"/>
      <w:lvlJc w:val="start"/>
      <w:pPr>
        <w:tabs>
          <w:tab w:val="num" w:pos="0"/>
        </w:tabs>
        <w:ind w:start="0" w:hanging="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lowerLetter"/>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GB" w:eastAsia="zh-CN" w:bidi="hi-IN"/>
    </w:rPr>
  </w:style>
  <w:style w:type="paragraph" w:styleId="Heading1">
    <w:name w:val="heading 1"/>
    <w:basedOn w:val="Normal"/>
    <w:next w:val="BodyText"/>
    <w:qFormat/>
    <w:pPr>
      <w:pageBreakBefore/>
      <w:numPr>
        <w:ilvl w:val="0"/>
        <w:numId w:val="2"/>
      </w:numPr>
      <w:pBdr>
        <w:bottom w:val="single" w:sz="12" w:space="2" w:color="000000"/>
      </w:pBdr>
      <w:spacing w:before="0" w:after="240"/>
      <w:ind w:hanging="851" w:start="851" w:end="0"/>
      <w:outlineLvl w:val="0"/>
    </w:pPr>
    <w:rPr>
      <w:b/>
      <w:sz w:val="36"/>
    </w:rPr>
  </w:style>
  <w:style w:type="paragraph" w:styleId="Heading2">
    <w:name w:val="heading 2"/>
    <w:basedOn w:val="Normal"/>
    <w:next w:val="BodyText"/>
    <w:qFormat/>
    <w:pPr>
      <w:keepNext w:val="true"/>
      <w:numPr>
        <w:ilvl w:val="0"/>
        <w:numId w:val="2"/>
      </w:numPr>
      <w:spacing w:before="480" w:after="0"/>
      <w:ind w:hanging="851" w:start="851" w:end="0"/>
      <w:outlineLvl w:val="1"/>
    </w:pPr>
    <w:rPr>
      <w:b/>
      <w:sz w:val="28"/>
    </w:rPr>
  </w:style>
  <w:style w:type="paragraph" w:styleId="Heading3">
    <w:name w:val="heading 3"/>
    <w:basedOn w:val="Normal"/>
    <w:next w:val="BodyText"/>
    <w:qFormat/>
    <w:pPr>
      <w:keepNext w:val="true"/>
      <w:numPr>
        <w:ilvl w:val="0"/>
        <w:numId w:val="2"/>
      </w:numPr>
      <w:spacing w:before="360" w:after="0"/>
      <w:ind w:hanging="851" w:start="851" w:end="0"/>
      <w:outlineLvl w:val="2"/>
    </w:pPr>
    <w:rPr>
      <w:b/>
    </w:rPr>
  </w:style>
  <w:style w:type="paragraph" w:styleId="Heading4">
    <w:name w:val="heading 4"/>
    <w:basedOn w:val="Normal"/>
    <w:next w:val="BodyText"/>
    <w:qFormat/>
    <w:pPr>
      <w:keepNext w:val="true"/>
      <w:numPr>
        <w:ilvl w:val="0"/>
        <w:numId w:val="2"/>
      </w:numPr>
      <w:ind w:hanging="851" w:start="851" w:end="0"/>
      <w:outlineLvl w:val="3"/>
    </w:pPr>
    <w:rPr>
      <w:b/>
    </w:rPr>
  </w:style>
  <w:style w:type="paragraph" w:styleId="Heading5">
    <w:name w:val="heading 5"/>
    <w:basedOn w:val="Normal"/>
    <w:next w:val="Normal"/>
    <w:qFormat/>
    <w:pPr>
      <w:numPr>
        <w:ilvl w:val="0"/>
        <w:numId w:val="2"/>
      </w:numPr>
      <w:spacing w:before="0" w:after="60"/>
      <w:outlineLvl w:val="4"/>
    </w:pPr>
    <w:rPr>
      <w:rFonts w:ascii="Arial" w:hAnsi="Arial" w:cs="Arial"/>
    </w:rPr>
  </w:style>
  <w:style w:type="paragraph" w:styleId="Heading6">
    <w:name w:val="heading 6"/>
    <w:basedOn w:val="Normal"/>
    <w:next w:val="Normal"/>
    <w:qFormat/>
    <w:pPr>
      <w:numPr>
        <w:ilvl w:val="0"/>
        <w:numId w:val="2"/>
      </w:numPr>
      <w:spacing w:before="0" w:after="60"/>
      <w:outlineLvl w:val="5"/>
    </w:pPr>
    <w:rPr>
      <w:rFonts w:ascii="Arial" w:hAnsi="Arial" w:cs="Arial"/>
      <w:i/>
    </w:rPr>
  </w:style>
  <w:style w:type="paragraph" w:styleId="Heading7">
    <w:name w:val="heading 7"/>
    <w:basedOn w:val="Normal"/>
    <w:next w:val="Normal"/>
    <w:qFormat/>
    <w:pPr>
      <w:numPr>
        <w:ilvl w:val="0"/>
        <w:numId w:val="2"/>
      </w:numPr>
      <w:spacing w:before="0" w:after="60"/>
      <w:outlineLvl w:val="6"/>
    </w:pPr>
    <w:rPr>
      <w:rFonts w:ascii="Arial" w:hAnsi="Arial" w:cs="Arial"/>
    </w:rPr>
  </w:style>
  <w:style w:type="paragraph" w:styleId="Heading8">
    <w:name w:val="heading 8"/>
    <w:basedOn w:val="Normal"/>
    <w:next w:val="Normal"/>
    <w:qFormat/>
    <w:pPr>
      <w:numPr>
        <w:ilvl w:val="0"/>
        <w:numId w:val="2"/>
      </w:numPr>
      <w:spacing w:before="0" w:after="60"/>
      <w:outlineLvl w:val="7"/>
    </w:pPr>
    <w:rPr>
      <w:rFonts w:ascii="Arial" w:hAnsi="Arial" w:cs="Arial"/>
      <w:i/>
    </w:rPr>
  </w:style>
  <w:style w:type="paragraph" w:styleId="Heading9">
    <w:name w:val="heading 9"/>
    <w:basedOn w:val="Heading1"/>
    <w:next w:val="BodyText"/>
    <w:qFormat/>
    <w:pPr>
      <w:numPr>
        <w:ilvl w:val="0"/>
        <w:numId w:val="2"/>
      </w:numPr>
      <w:tabs>
        <w:tab w:val="clear" w:pos="720"/>
        <w:tab w:val="left" w:pos="360" w:leader="none"/>
      </w:tabs>
      <w:ind w:hanging="2381" w:start="2381" w:end="0"/>
      <w:outlineLvl w:val="8"/>
    </w:pPr>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ZapfHumnst BT" w:hAnsi="ZapfHumnst BT" w:cs="ZapfHumnst BT"/>
    </w:rPr>
  </w:style>
  <w:style w:type="paragraph" w:styleId="Heading">
    <w:name w:val="Heading"/>
    <w:basedOn w:val="Normal"/>
    <w:next w:val="BodyText"/>
    <w:qFormat/>
    <w:pPr>
      <w:jc w:val="center"/>
    </w:pPr>
    <w:rPr>
      <w:b/>
    </w:rPr>
  </w:style>
  <w:style w:type="paragraph" w:styleId="BodyText">
    <w:name w:val="Body Text"/>
    <w:basedOn w:val="Normal"/>
    <w:pPr>
      <w:suppressAutoHyphens w:val="true"/>
      <w:ind w:hanging="0" w:start="851"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BodyText"/>
    <w:pPr>
      <w:ind w:hanging="0" w:start="1134" w:end="0"/>
    </w:pPr>
    <w:rPr/>
  </w:style>
  <w:style w:type="paragraph" w:styleId="FigureCaption">
    <w:name w:val="Figure Caption"/>
    <w:basedOn w:val="Normal"/>
    <w:qFormat/>
    <w:pPr>
      <w:spacing w:before="0" w:after="120"/>
      <w:ind w:hanging="0" w:start="113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next w:val="Normal"/>
    <w:pPr>
      <w:tabs>
        <w:tab w:val="clear" w:pos="720"/>
        <w:tab w:val="right" w:pos="9072" w:leader="none"/>
      </w:tabs>
    </w:pPr>
    <w:rPr>
      <w:sz w:val="18"/>
    </w:rPr>
  </w:style>
  <w:style w:type="paragraph" w:styleId="Header">
    <w:name w:val="header"/>
    <w:basedOn w:val="Normal"/>
    <w:pPr>
      <w:tabs>
        <w:tab w:val="clear" w:pos="720"/>
        <w:tab w:val="center" w:pos="4153" w:leader="none"/>
        <w:tab w:val="right" w:pos="8306" w:leader="none"/>
      </w:tabs>
    </w:pPr>
    <w:rPr/>
  </w:style>
  <w:style w:type="paragraph" w:styleId="Heading1nonumbering">
    <w:name w:val="Heading 1 no numbering"/>
    <w:basedOn w:val="Heading1"/>
    <w:next w:val="BodyText"/>
    <w:qFormat/>
    <w:pPr>
      <w:numPr>
        <w:ilvl w:val="0"/>
        <w:numId w:val="2"/>
      </w:numPr>
      <w:tabs>
        <w:tab w:val="clear" w:pos="720"/>
      </w:tabs>
      <w:ind w:firstLine="851" w:start="0" w:end="0"/>
      <w:outlineLvl w:val="9"/>
    </w:pPr>
    <w:rPr/>
  </w:style>
  <w:style w:type="paragraph" w:styleId="Heading2nonumbering">
    <w:name w:val="Heading 2 no numbering"/>
    <w:basedOn w:val="Heading2"/>
    <w:next w:val="BodyText"/>
    <w:qFormat/>
    <w:pPr>
      <w:numPr>
        <w:ilvl w:val="0"/>
        <w:numId w:val="2"/>
      </w:numPr>
      <w:tabs>
        <w:tab w:val="clear" w:pos="720"/>
      </w:tabs>
      <w:ind w:hanging="0" w:start="851" w:end="0"/>
      <w:outlineLvl w:val="9"/>
    </w:pPr>
    <w:rPr/>
  </w:style>
  <w:style w:type="paragraph" w:styleId="Heading3nonumbering">
    <w:name w:val="Heading 3 no numbering"/>
    <w:basedOn w:val="Heading3"/>
    <w:next w:val="BodyText"/>
    <w:qFormat/>
    <w:pPr>
      <w:numPr>
        <w:ilvl w:val="0"/>
        <w:numId w:val="2"/>
      </w:numPr>
      <w:tabs>
        <w:tab w:val="clear" w:pos="720"/>
      </w:tabs>
      <w:ind w:hanging="0" w:start="851" w:end="0"/>
      <w:outlineLvl w:val="9"/>
    </w:pPr>
    <w:rPr/>
  </w:style>
  <w:style w:type="paragraph" w:styleId="Heading4nonumbering">
    <w:name w:val="Heading 4 no numbering"/>
    <w:basedOn w:val="Heading4"/>
    <w:next w:val="BodyText"/>
    <w:qFormat/>
    <w:pPr>
      <w:numPr>
        <w:ilvl w:val="0"/>
        <w:numId w:val="2"/>
      </w:numPr>
      <w:tabs>
        <w:tab w:val="clear" w:pos="720"/>
      </w:tabs>
      <w:ind w:hanging="0" w:start="851" w:end="0"/>
      <w:outlineLvl w:val="9"/>
    </w:pPr>
    <w:rPr/>
  </w:style>
  <w:style w:type="paragraph" w:styleId="ListBullet">
    <w:name w:val="List Bullet"/>
    <w:basedOn w:val="Normal"/>
    <w:qFormat/>
    <w:pPr>
      <w:numPr>
        <w:ilvl w:val="0"/>
        <w:numId w:val="9"/>
      </w:numPr>
      <w:spacing w:before="60" w:after="60"/>
      <w:ind w:hanging="284" w:start="1135" w:end="567"/>
    </w:pPr>
    <w:rPr/>
  </w:style>
  <w:style w:type="paragraph" w:styleId="ListBulletIndent">
    <w:name w:val="List Bullet Indent"/>
    <w:basedOn w:val="ListBullet"/>
    <w:qFormat/>
    <w:pPr>
      <w:ind w:hanging="284" w:start="1418" w:end="567"/>
    </w:pPr>
    <w:rPr/>
  </w:style>
  <w:style w:type="paragraph" w:styleId="ListBulletnospace">
    <w:name w:val="List Bullet no space"/>
    <w:basedOn w:val="ListBullet"/>
    <w:qFormat/>
    <w:pPr>
      <w:spacing w:before="0" w:after="0"/>
    </w:pPr>
    <w:rPr/>
  </w:style>
  <w:style w:type="paragraph" w:styleId="ListNumber">
    <w:name w:val="List Number"/>
    <w:basedOn w:val="Normal"/>
    <w:qFormat/>
    <w:pPr>
      <w:numPr>
        <w:ilvl w:val="0"/>
        <w:numId w:val="10"/>
      </w:numPr>
      <w:spacing w:before="60" w:after="60"/>
      <w:ind w:hanging="284" w:start="1135" w:end="567"/>
    </w:pPr>
    <w:rPr/>
  </w:style>
  <w:style w:type="paragraph" w:styleId="ListLetter">
    <w:name w:val="List Letter"/>
    <w:basedOn w:val="ListNumber"/>
    <w:qFormat/>
    <w:pPr>
      <w:numPr>
        <w:ilvl w:val="0"/>
        <w:numId w:val="11"/>
      </w:numPr>
    </w:pPr>
    <w:rPr/>
  </w:style>
  <w:style w:type="paragraph" w:styleId="NormalIndent">
    <w:name w:val="Normal Indent"/>
    <w:basedOn w:val="Normal"/>
    <w:qFormat/>
    <w:pPr>
      <w:ind w:hanging="0" w:start="1134" w:end="0"/>
    </w:pPr>
    <w:rPr/>
  </w:style>
  <w:style w:type="paragraph" w:styleId="TableCaption">
    <w:name w:val="Table Caption"/>
    <w:basedOn w:val="Normal"/>
    <w:next w:val="Normal"/>
    <w:qFormat/>
    <w:pPr>
      <w:spacing w:before="240" w:after="120"/>
      <w:ind w:hanging="0" w:start="1134" w:end="0"/>
    </w:pPr>
    <w:rPr/>
  </w:style>
  <w:style w:type="paragraph" w:styleId="TableContents">
    <w:name w:val="Table Contents"/>
    <w:basedOn w:val="Normal"/>
    <w:qFormat/>
    <w:pPr>
      <w:widowControl w:val="false"/>
      <w:suppressLineNumbers/>
    </w:pPr>
    <w:rPr/>
  </w:style>
  <w:style w:type="paragraph" w:styleId="TableHeading">
    <w:name w:val="Table Heading"/>
    <w:basedOn w:val="Normal"/>
    <w:next w:val="Normal"/>
    <w:qFormat/>
    <w:pPr>
      <w:widowControl/>
      <w:suppressAutoHyphens w:val="true"/>
      <w:spacing w:before="60" w:after="60"/>
      <w:jc w:val="both"/>
    </w:pPr>
    <w:rPr>
      <w:b/>
      <w:sz w:val="20"/>
    </w:rPr>
  </w:style>
  <w:style w:type="paragraph" w:styleId="TableText">
    <w:name w:val="Table Text"/>
    <w:basedOn w:val="BodyText"/>
    <w:qFormat/>
    <w:pPr>
      <w:widowControl/>
      <w:spacing w:before="60" w:after="60"/>
      <w:jc w:val="both"/>
    </w:pPr>
    <w:rPr>
      <w:sz w:val="20"/>
    </w:rPr>
  </w:style>
  <w:style w:type="paragraph" w:styleId="TOC1">
    <w:name w:val="toc 1"/>
    <w:basedOn w:val="Normal"/>
    <w:next w:val="Normal"/>
    <w:pPr>
      <w:tabs>
        <w:tab w:val="clear" w:pos="720"/>
        <w:tab w:val="left" w:pos="1418" w:leader="none"/>
        <w:tab w:val="right" w:pos="8504" w:leader="none"/>
      </w:tabs>
      <w:spacing w:before="240" w:after="0"/>
      <w:ind w:hanging="0" w:start="851" w:end="0"/>
    </w:pPr>
    <w:rPr>
      <w:b/>
    </w:rPr>
  </w:style>
  <w:style w:type="paragraph" w:styleId="TOC2">
    <w:name w:val="toc 2"/>
    <w:basedOn w:val="TOC1"/>
    <w:next w:val="Normal"/>
    <w:pPr>
      <w:spacing w:before="120" w:after="0"/>
    </w:pPr>
    <w:rPr>
      <w:b w:val="false"/>
    </w:rPr>
  </w:style>
  <w:style w:type="paragraph" w:styleId="TOC3">
    <w:name w:val="toc 3"/>
    <w:basedOn w:val="TOC2"/>
    <w:next w:val="Normal"/>
    <w:pPr/>
    <w:rPr/>
  </w:style>
  <w:style w:type="paragraph" w:styleId="TOC4">
    <w:name w:val="toc 4"/>
    <w:basedOn w:val="TOC3"/>
    <w:next w:val="Normal"/>
    <w:pPr/>
    <w:rPr/>
  </w:style>
  <w:style w:type="paragraph" w:styleId="TOC5">
    <w:name w:val="toc 5"/>
    <w:basedOn w:val="Normal"/>
    <w:next w:val="Normal"/>
    <w:pPr>
      <w:tabs>
        <w:tab w:val="clear" w:pos="720"/>
        <w:tab w:val="right" w:pos="8504" w:leader="none"/>
      </w:tabs>
      <w:ind w:hanging="0" w:start="660" w:end="0"/>
    </w:pPr>
    <w:rPr>
      <w:sz w:val="18"/>
    </w:rPr>
  </w:style>
  <w:style w:type="paragraph" w:styleId="TOC6">
    <w:name w:val="toc 6"/>
    <w:basedOn w:val="Normal"/>
    <w:next w:val="Normal"/>
    <w:pPr>
      <w:tabs>
        <w:tab w:val="clear" w:pos="720"/>
        <w:tab w:val="right" w:pos="8504" w:leader="none"/>
      </w:tabs>
      <w:ind w:hanging="0" w:start="880" w:end="0"/>
    </w:pPr>
    <w:rPr>
      <w:sz w:val="18"/>
    </w:rPr>
  </w:style>
  <w:style w:type="paragraph" w:styleId="TOC7">
    <w:name w:val="toc 7"/>
    <w:basedOn w:val="Normal"/>
    <w:next w:val="Normal"/>
    <w:pPr>
      <w:tabs>
        <w:tab w:val="clear" w:pos="720"/>
        <w:tab w:val="right" w:pos="8504" w:leader="none"/>
      </w:tabs>
      <w:ind w:hanging="0" w:start="1100" w:end="0"/>
    </w:pPr>
    <w:rPr>
      <w:sz w:val="18"/>
    </w:rPr>
  </w:style>
  <w:style w:type="paragraph" w:styleId="TOC8">
    <w:name w:val="toc 8"/>
    <w:basedOn w:val="Normal"/>
    <w:next w:val="Normal"/>
    <w:pPr>
      <w:tabs>
        <w:tab w:val="clear" w:pos="720"/>
        <w:tab w:val="right" w:pos="8504" w:leader="none"/>
      </w:tabs>
      <w:ind w:hanging="0" w:start="1320" w:end="0"/>
    </w:pPr>
    <w:rPr>
      <w:sz w:val="18"/>
    </w:rPr>
  </w:style>
  <w:style w:type="paragraph" w:styleId="TOC9">
    <w:name w:val="toc 9"/>
    <w:basedOn w:val="TOC1"/>
    <w:next w:val="Normal"/>
    <w:pPr>
      <w:ind w:hanging="0" w:start="1701" w:end="0"/>
    </w:pPr>
    <w:rPr/>
  </w:style>
  <w:style w:type="paragraph" w:styleId="TocHead">
    <w:name w:val="Toc Head"/>
    <w:basedOn w:val="Normal"/>
    <w:next w:val="TOC1"/>
    <w:qFormat/>
    <w:pPr>
      <w:keepNext w:val="true"/>
      <w:keepLines/>
      <w:widowControl/>
      <w:tabs>
        <w:tab w:val="clear" w:pos="720"/>
        <w:tab w:val="right" w:pos="8505" w:leader="none"/>
      </w:tabs>
      <w:spacing w:before="180" w:after="0"/>
      <w:ind w:hanging="0" w:start="851" w:end="0"/>
    </w:pPr>
    <w:rPr>
      <w:i/>
    </w:rPr>
  </w:style>
  <w:style w:type="paragraph" w:styleId="TOCTitle">
    <w:name w:val="TOC Title"/>
    <w:basedOn w:val="Heading1"/>
    <w:next w:val="Normal"/>
    <w:qFormat/>
    <w:pPr>
      <w:numPr>
        <w:ilvl w:val="0"/>
        <w:numId w:val="2"/>
      </w:numPr>
      <w:tabs>
        <w:tab w:val="clear" w:pos="720"/>
      </w:tabs>
      <w:outlineLvl w:val="9"/>
    </w:pPr>
    <w:rPr/>
  </w:style>
  <w:style w:type="paragraph" w:styleId="BodyText2">
    <w:name w:val="Body Text 2"/>
    <w:basedOn w:val="Normal"/>
    <w:qFormat/>
    <w:pPr/>
    <w:rPr>
      <w:b/>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2001-11-26T11:03:00Z</dcterms:created>
  <dc:creator>Wessex Water</dc:creator>
  <dc:description/>
  <dc:language>en-CA</dc:language>
  <cp:lastModifiedBy>Wessex Water</cp:lastModifiedBy>
  <cp:lastPrinted>2001-11-26T13:33:00Z</cp:lastPrinted>
  <dcterms:modified xsi:type="dcterms:W3CDTF">2001-11-26T11:03:00Z</dcterms:modified>
  <cp:revision>2</cp:revision>
  <dc:subject/>
  <dc:title>POTENTIAL WESSEX SALE - PROGRESS REPORT</dc:title>
</cp:coreProperties>
</file>