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t>Proprietary and Confidential</w:t>
      </w:r>
    </w:p>
    <w:p>
      <w:pPr>
        <w:pStyle w:val="Normal"/>
        <w:jc w:val="center"/>
        <w:rPr>
          <w:b/>
        </w:rPr>
      </w:pPr>
      <w:r>
        <w:rPr>
          <w:b/>
        </w:rPr>
        <w:t>Enron Transportation Services</w:t>
      </w:r>
    </w:p>
    <w:p>
      <w:pPr>
        <w:pStyle w:val="Heading1"/>
        <w:ind w:hanging="0" w:start="0"/>
        <w:jc w:val="center"/>
        <w:rPr>
          <w:b/>
          <w:sz w:val="20"/>
        </w:rPr>
      </w:pPr>
      <w:r>
        <w:rPr>
          <w:b/>
          <w:sz w:val="20"/>
        </w:rPr>
        <w:t>Risk Management Operating Procedures and Controls</w:t>
      </w:r>
    </w:p>
    <w:p>
      <w:pPr>
        <w:pStyle w:val="Heading4"/>
        <w:ind w:hanging="0" w:start="0"/>
        <w:rPr/>
      </w:pPr>
      <w:r>
        <w:rPr/>
        <w:t>Draft</w:t>
      </w:r>
    </w:p>
    <w:p>
      <w:pPr>
        <w:pStyle w:val="Normal"/>
        <w:rPr/>
      </w:pPr>
      <w:r>
        <w:rPr/>
      </w:r>
    </w:p>
    <w:p>
      <w:pPr>
        <w:pStyle w:val="Normal"/>
        <w:jc w:val="center"/>
        <w:rPr/>
      </w:pPr>
      <w:r>
        <w:rPr/>
        <w:t>Revised 11/09/2000</w:t>
      </w:r>
    </w:p>
    <w:p>
      <w:pPr>
        <w:pStyle w:val="Normal"/>
        <w:rPr/>
      </w:pPr>
      <w:r>
        <w:rPr/>
      </w:r>
    </w:p>
    <w:p>
      <w:pPr>
        <w:pStyle w:val="Normal"/>
        <w:rPr/>
      </w:pPr>
      <w:r>
        <w:rPr/>
      </w:r>
    </w:p>
    <w:p>
      <w:pPr>
        <w:pStyle w:val="Normal"/>
        <w:rPr/>
      </w:pPr>
      <w:r>
        <w:rPr/>
      </w:r>
    </w:p>
    <w:p>
      <w:pPr>
        <w:pStyle w:val="Heading1"/>
        <w:ind w:hanging="0" w:start="0"/>
        <w:rPr>
          <w:b/>
          <w:sz w:val="20"/>
        </w:rPr>
      </w:pPr>
      <w:r>
        <w:rPr>
          <w:b/>
          <w:sz w:val="20"/>
        </w:rPr>
        <w:t>Traders</w:t>
      </w:r>
    </w:p>
    <w:p>
      <w:pPr>
        <w:pStyle w:val="Normal"/>
        <w:rPr>
          <w:b/>
          <w:sz w:val="20"/>
        </w:rPr>
      </w:pPr>
      <w:r>
        <w:rPr>
          <w:b/>
          <w:sz w:val="20"/>
        </w:rPr>
      </w:r>
    </w:p>
    <w:p>
      <w:pPr>
        <w:pStyle w:val="BodyText"/>
        <w:numPr>
          <w:ilvl w:val="0"/>
          <w:numId w:val="20"/>
        </w:numPr>
        <w:rPr>
          <w:sz w:val="20"/>
        </w:rPr>
      </w:pPr>
      <w:r>
        <w:rPr>
          <w:sz w:val="20"/>
        </w:rPr>
        <w:t xml:space="preserve">Derivative Traders (Traders) must be approved by the Enron Corp. Chief Risk Officer or his designee.  </w:t>
      </w:r>
    </w:p>
    <w:p>
      <w:pPr>
        <w:pStyle w:val="BodyText"/>
        <w:rPr>
          <w:sz w:val="20"/>
        </w:rPr>
      </w:pPr>
      <w:r>
        <w:rPr>
          <w:sz w:val="20"/>
        </w:rPr>
      </w:r>
    </w:p>
    <w:p>
      <w:pPr>
        <w:pStyle w:val="BodyText"/>
        <w:numPr>
          <w:ilvl w:val="0"/>
          <w:numId w:val="14"/>
        </w:numPr>
        <w:rPr>
          <w:sz w:val="20"/>
        </w:rPr>
      </w:pPr>
      <w:r>
        <w:rPr>
          <w:sz w:val="20"/>
        </w:rPr>
        <w:t xml:space="preserve">Trading activities are subject to net open position, maturity/gap, loss advisory, sensitivity/VAR limits.  </w:t>
      </w:r>
    </w:p>
    <w:p>
      <w:pPr>
        <w:pStyle w:val="BodyText"/>
        <w:rPr>
          <w:sz w:val="20"/>
        </w:rPr>
      </w:pPr>
      <w:r>
        <w:rPr>
          <w:sz w:val="20"/>
        </w:rPr>
      </w:r>
    </w:p>
    <w:p>
      <w:pPr>
        <w:pStyle w:val="BodyText"/>
        <w:numPr>
          <w:ilvl w:val="0"/>
          <w:numId w:val="14"/>
        </w:numPr>
        <w:rPr>
          <w:sz w:val="20"/>
        </w:rPr>
      </w:pPr>
      <w:r>
        <w:rPr>
          <w:sz w:val="20"/>
        </w:rPr>
        <w:t xml:space="preserve">New deals are checked against limits before execution.  </w:t>
      </w:r>
    </w:p>
    <w:p>
      <w:pPr>
        <w:pStyle w:val="BodyText"/>
        <w:rPr>
          <w:sz w:val="20"/>
        </w:rPr>
      </w:pPr>
      <w:r>
        <w:rPr>
          <w:sz w:val="20"/>
        </w:rPr>
      </w:r>
    </w:p>
    <w:p>
      <w:pPr>
        <w:pStyle w:val="BodyText"/>
        <w:numPr>
          <w:ilvl w:val="0"/>
          <w:numId w:val="14"/>
        </w:numPr>
        <w:rPr>
          <w:sz w:val="20"/>
        </w:rPr>
      </w:pPr>
      <w:r>
        <w:rPr>
          <w:sz w:val="20"/>
        </w:rPr>
        <w:t xml:space="preserve">Trades done for the purposes of hedging physical non-derivative contracts will be documented by traders in accordance with accounting requirements explained in this procedure. </w:t>
      </w:r>
      <w:r>
        <w:rPr>
          <w:i/>
          <w:sz w:val="20"/>
        </w:rPr>
        <w:t>(see Accounting Settlement and Financial below)</w:t>
      </w:r>
    </w:p>
    <w:p>
      <w:pPr>
        <w:pStyle w:val="BodyText"/>
        <w:rPr>
          <w:sz w:val="20"/>
        </w:rPr>
      </w:pPr>
      <w:r>
        <w:rPr>
          <w:sz w:val="20"/>
        </w:rPr>
      </w:r>
    </w:p>
    <w:p>
      <w:pPr>
        <w:pStyle w:val="BodyText"/>
        <w:numPr>
          <w:ilvl w:val="0"/>
          <w:numId w:val="25"/>
        </w:numPr>
        <w:rPr>
          <w:sz w:val="20"/>
        </w:rPr>
      </w:pPr>
      <w:r>
        <w:rPr>
          <w:sz w:val="20"/>
        </w:rPr>
        <w:t>Traders will communicate new trading partners with the ETS Credit Department to cause a credit limit to be established.  Anticipated transactions will be checked to credit limits before execution.  Anticipated transactions that exceed credit limits must be approved by the ETS Credit Department.</w:t>
      </w:r>
    </w:p>
    <w:p>
      <w:pPr>
        <w:pStyle w:val="BodyText"/>
        <w:rPr>
          <w:sz w:val="20"/>
        </w:rPr>
      </w:pPr>
      <w:r>
        <w:rPr>
          <w:sz w:val="20"/>
        </w:rPr>
      </w:r>
    </w:p>
    <w:p>
      <w:pPr>
        <w:pStyle w:val="BodyText"/>
        <w:numPr>
          <w:ilvl w:val="0"/>
          <w:numId w:val="13"/>
        </w:numPr>
        <w:rPr>
          <w:sz w:val="20"/>
        </w:rPr>
      </w:pPr>
      <w:r>
        <w:rPr>
          <w:sz w:val="20"/>
        </w:rPr>
        <w:t xml:space="preserve">Traders will use sequentially numbered deals sheets to document trades. Traders will accurately and completely document their trades and traders will use taped telephone lines.   </w:t>
      </w:r>
    </w:p>
    <w:p>
      <w:pPr>
        <w:pStyle w:val="BodyText"/>
        <w:rPr>
          <w:sz w:val="20"/>
        </w:rPr>
      </w:pPr>
      <w:r>
        <w:rPr>
          <w:sz w:val="20"/>
        </w:rPr>
      </w:r>
    </w:p>
    <w:p>
      <w:pPr>
        <w:pStyle w:val="BodyText"/>
        <w:numPr>
          <w:ilvl w:val="0"/>
          <w:numId w:val="10"/>
        </w:numPr>
        <w:rPr>
          <w:sz w:val="20"/>
        </w:rPr>
      </w:pPr>
      <w:r>
        <w:rPr>
          <w:sz w:val="20"/>
        </w:rPr>
        <w:t>Traders will review the Daily Position Reports and check the trading system for completeness and input accuracy.  Daily Position and P&amp;L Reports are approved and signed off by trading.</w:t>
      </w:r>
    </w:p>
    <w:p>
      <w:pPr>
        <w:pStyle w:val="BodyText"/>
        <w:rPr>
          <w:sz w:val="20"/>
        </w:rPr>
      </w:pPr>
      <w:r>
        <w:rPr>
          <w:sz w:val="20"/>
        </w:rPr>
      </w:r>
    </w:p>
    <w:p>
      <w:pPr>
        <w:pStyle w:val="BodyText"/>
        <w:numPr>
          <w:ilvl w:val="0"/>
          <w:numId w:val="21"/>
        </w:numPr>
        <w:rPr>
          <w:sz w:val="20"/>
        </w:rPr>
      </w:pPr>
      <w:r>
        <w:rPr>
          <w:sz w:val="20"/>
        </w:rPr>
        <w:t>Third party confirmations are checked for accuracy by Traders and approved.  Approved Confirmations are forwarded to Risk Measurement.</w:t>
      </w:r>
    </w:p>
    <w:p>
      <w:pPr>
        <w:pStyle w:val="BodyText"/>
        <w:rPr>
          <w:sz w:val="20"/>
        </w:rPr>
      </w:pPr>
      <w:r>
        <w:rPr>
          <w:sz w:val="20"/>
        </w:rPr>
      </w:r>
    </w:p>
    <w:p>
      <w:pPr>
        <w:pStyle w:val="BodyText"/>
        <w:rPr>
          <w:b/>
          <w:sz w:val="20"/>
          <w:u w:val="single"/>
        </w:rPr>
      </w:pPr>
      <w:r>
        <w:rPr>
          <w:b/>
          <w:sz w:val="20"/>
          <w:u w:val="single"/>
        </w:rPr>
        <w:t>Risk Management</w:t>
      </w:r>
    </w:p>
    <w:p>
      <w:pPr>
        <w:pStyle w:val="BodyText"/>
        <w:rPr>
          <w:b/>
          <w:sz w:val="20"/>
          <w:u w:val="single"/>
        </w:rPr>
      </w:pPr>
      <w:r>
        <w:rPr>
          <w:b/>
          <w:sz w:val="20"/>
          <w:u w:val="single"/>
        </w:rPr>
      </w:r>
    </w:p>
    <w:p>
      <w:pPr>
        <w:pStyle w:val="BodyText"/>
        <w:numPr>
          <w:ilvl w:val="0"/>
          <w:numId w:val="5"/>
        </w:numPr>
        <w:rPr>
          <w:sz w:val="20"/>
        </w:rPr>
      </w:pPr>
      <w:r>
        <w:rPr>
          <w:sz w:val="20"/>
        </w:rPr>
        <w:t>Approved Risk Management Policy</w:t>
      </w:r>
    </w:p>
    <w:p>
      <w:pPr>
        <w:pStyle w:val="BodyText"/>
        <w:rPr>
          <w:sz w:val="20"/>
        </w:rPr>
      </w:pPr>
      <w:r>
        <w:rPr>
          <w:sz w:val="20"/>
        </w:rPr>
      </w:r>
    </w:p>
    <w:p>
      <w:pPr>
        <w:pStyle w:val="BodyText"/>
        <w:numPr>
          <w:ilvl w:val="0"/>
          <w:numId w:val="5"/>
        </w:numPr>
        <w:rPr>
          <w:sz w:val="20"/>
        </w:rPr>
      </w:pPr>
      <w:r>
        <w:rPr>
          <w:sz w:val="20"/>
        </w:rPr>
        <w:t>Trading System has been approved in accordance with the Risk Management Policy.</w:t>
      </w:r>
    </w:p>
    <w:p>
      <w:pPr>
        <w:pStyle w:val="BodyText"/>
        <w:rPr>
          <w:sz w:val="20"/>
        </w:rPr>
      </w:pPr>
      <w:r>
        <w:rPr>
          <w:sz w:val="20"/>
        </w:rPr>
      </w:r>
    </w:p>
    <w:p>
      <w:pPr>
        <w:pStyle w:val="BodyText"/>
        <w:numPr>
          <w:ilvl w:val="0"/>
          <w:numId w:val="3"/>
        </w:numPr>
        <w:rPr>
          <w:sz w:val="20"/>
        </w:rPr>
      </w:pPr>
      <w:r>
        <w:rPr>
          <w:sz w:val="20"/>
        </w:rPr>
        <w:t>All deals sheets (including voids) are forwarded to Risk Measurement/Monitoring for same day input into the trading system.  Risk Measurement will be able to account for all deal sheets.</w:t>
      </w:r>
    </w:p>
    <w:p>
      <w:pPr>
        <w:pStyle w:val="BodyText"/>
        <w:rPr>
          <w:sz w:val="20"/>
        </w:rPr>
      </w:pPr>
      <w:r>
        <w:rPr>
          <w:sz w:val="20"/>
        </w:rPr>
      </w:r>
    </w:p>
    <w:p>
      <w:pPr>
        <w:pStyle w:val="BodyText"/>
        <w:numPr>
          <w:ilvl w:val="0"/>
          <w:numId w:val="23"/>
        </w:numPr>
        <w:rPr>
          <w:sz w:val="20"/>
        </w:rPr>
      </w:pPr>
      <w:r>
        <w:rPr>
          <w:sz w:val="20"/>
        </w:rPr>
        <w:t>Third party confirmations come directly to Risk Measurement/Monitoring from third parties and are distributed to Traders and Financial Accounting on the same day.</w:t>
      </w:r>
    </w:p>
    <w:p>
      <w:pPr>
        <w:pStyle w:val="BodyText"/>
        <w:rPr>
          <w:sz w:val="20"/>
        </w:rPr>
      </w:pPr>
      <w:r>
        <w:rPr>
          <w:sz w:val="20"/>
        </w:rPr>
      </w:r>
    </w:p>
    <w:p>
      <w:pPr>
        <w:pStyle w:val="BodyText"/>
        <w:numPr>
          <w:ilvl w:val="0"/>
          <w:numId w:val="11"/>
        </w:numPr>
        <w:rPr>
          <w:sz w:val="20"/>
        </w:rPr>
      </w:pPr>
      <w:r>
        <w:rPr>
          <w:sz w:val="20"/>
        </w:rPr>
        <w:t>Confirms sent to/received from non-broker counter-parties within 24 hours of trade execution and agreed to risk system data.</w:t>
      </w:r>
    </w:p>
    <w:p>
      <w:pPr>
        <w:pStyle w:val="BodyText"/>
        <w:rPr>
          <w:sz w:val="20"/>
        </w:rPr>
      </w:pPr>
      <w:r>
        <w:rPr>
          <w:sz w:val="20"/>
        </w:rPr>
      </w:r>
    </w:p>
    <w:p>
      <w:pPr>
        <w:pStyle w:val="BodyText"/>
        <w:numPr>
          <w:ilvl w:val="0"/>
          <w:numId w:val="7"/>
        </w:numPr>
        <w:rPr>
          <w:sz w:val="20"/>
        </w:rPr>
      </w:pPr>
      <w:r>
        <w:rPr>
          <w:sz w:val="20"/>
        </w:rPr>
        <w:t>Risk Management updates the status of deal confirmations in the Trading System.</w:t>
      </w:r>
    </w:p>
    <w:p>
      <w:pPr>
        <w:pStyle w:val="BodyText"/>
        <w:rPr>
          <w:sz w:val="20"/>
        </w:rPr>
      </w:pPr>
      <w:r>
        <w:rPr>
          <w:sz w:val="20"/>
        </w:rPr>
      </w:r>
    </w:p>
    <w:p>
      <w:pPr>
        <w:pStyle w:val="BodyText"/>
        <w:numPr>
          <w:ilvl w:val="0"/>
          <w:numId w:val="15"/>
        </w:numPr>
        <w:rPr>
          <w:sz w:val="20"/>
        </w:rPr>
      </w:pPr>
      <w:r>
        <w:rPr>
          <w:sz w:val="20"/>
        </w:rPr>
        <w:t>Independent validation of traders deal prices and models</w:t>
      </w:r>
    </w:p>
    <w:p>
      <w:pPr>
        <w:pStyle w:val="BodyText"/>
        <w:rPr>
          <w:sz w:val="20"/>
        </w:rPr>
      </w:pPr>
      <w:r>
        <w:rPr>
          <w:sz w:val="20"/>
        </w:rPr>
      </w:r>
    </w:p>
    <w:p>
      <w:pPr>
        <w:pStyle w:val="BodyText"/>
        <w:numPr>
          <w:ilvl w:val="0"/>
          <w:numId w:val="15"/>
        </w:numPr>
        <w:rPr>
          <w:sz w:val="20"/>
        </w:rPr>
      </w:pPr>
      <w:r>
        <w:rPr>
          <w:sz w:val="20"/>
        </w:rPr>
        <w:t>Periodic validation of prices from independent market sources.</w:t>
      </w:r>
    </w:p>
    <w:p>
      <w:pPr>
        <w:pStyle w:val="BodyText"/>
        <w:rPr>
          <w:sz w:val="20"/>
        </w:rPr>
      </w:pPr>
      <w:r>
        <w:rPr>
          <w:sz w:val="20"/>
        </w:rPr>
      </w:r>
    </w:p>
    <w:p>
      <w:pPr>
        <w:pStyle w:val="BodyText"/>
        <w:numPr>
          <w:ilvl w:val="0"/>
          <w:numId w:val="29"/>
        </w:numPr>
        <w:rPr>
          <w:sz w:val="20"/>
        </w:rPr>
      </w:pPr>
      <w:r>
        <w:rPr>
          <w:sz w:val="20"/>
        </w:rPr>
        <w:t xml:space="preserve">Positions are reported monitored and reported daily to senior management and credit.  Credit Department reviews credit exposures. </w:t>
      </w:r>
    </w:p>
    <w:p>
      <w:pPr>
        <w:pStyle w:val="BodyText"/>
        <w:rPr>
          <w:sz w:val="20"/>
        </w:rPr>
      </w:pPr>
      <w:r>
        <w:rPr>
          <w:sz w:val="20"/>
        </w:rPr>
      </w:r>
    </w:p>
    <w:p>
      <w:pPr>
        <w:pStyle w:val="BodyText"/>
        <w:numPr>
          <w:ilvl w:val="0"/>
          <w:numId w:val="6"/>
        </w:numPr>
        <w:rPr>
          <w:sz w:val="20"/>
        </w:rPr>
      </w:pPr>
      <w:r>
        <w:rPr>
          <w:sz w:val="20"/>
        </w:rPr>
        <w:t>Limit excesses are reported to senior management.</w:t>
      </w:r>
    </w:p>
    <w:p>
      <w:pPr>
        <w:pStyle w:val="BodyText"/>
        <w:rPr>
          <w:sz w:val="20"/>
        </w:rPr>
      </w:pPr>
      <w:r>
        <w:rPr>
          <w:sz w:val="20"/>
        </w:rPr>
      </w:r>
    </w:p>
    <w:p>
      <w:pPr>
        <w:pStyle w:val="Normal"/>
        <w:rPr>
          <w:sz w:val="20"/>
        </w:rPr>
      </w:pPr>
      <w:r>
        <w:rPr>
          <w:sz w:val="20"/>
        </w:rPr>
      </w:r>
    </w:p>
    <w:p>
      <w:pPr>
        <w:pStyle w:val="Heading2"/>
        <w:ind w:hanging="0" w:start="0"/>
        <w:rPr>
          <w:sz w:val="20"/>
          <w:u w:val="none"/>
        </w:rPr>
      </w:pPr>
      <w:r>
        <w:rPr>
          <w:sz w:val="20"/>
          <w:u w:val="none"/>
        </w:rPr>
        <w:t>Accounting Settlement and Financial</w:t>
      </w:r>
    </w:p>
    <w:p>
      <w:pPr>
        <w:pStyle w:val="Normal"/>
        <w:rPr>
          <w:sz w:val="20"/>
          <w:u w:val="none"/>
        </w:rPr>
      </w:pPr>
      <w:r>
        <w:rPr>
          <w:sz w:val="20"/>
          <w:u w:val="none"/>
        </w:rPr>
      </w:r>
    </w:p>
    <w:p>
      <w:pPr>
        <w:pStyle w:val="Normal"/>
        <w:numPr>
          <w:ilvl w:val="0"/>
          <w:numId w:val="4"/>
        </w:numPr>
        <w:rPr/>
      </w:pPr>
      <w:r>
        <w:rPr/>
        <w:t>Trades are reviewed to determine the proper accounting.  Trades designated as hedges are segregated from non-hedges for recording purposes.  Significant transactions are forwarded to Tax for their review and consideration of the tax accounting requirements.</w:t>
      </w:r>
    </w:p>
    <w:p>
      <w:pPr>
        <w:pStyle w:val="Normal"/>
        <w:rPr/>
      </w:pPr>
      <w:r>
        <w:rPr/>
      </w:r>
    </w:p>
    <w:p>
      <w:pPr>
        <w:pStyle w:val="Normal"/>
        <w:numPr>
          <w:ilvl w:val="0"/>
          <w:numId w:val="22"/>
        </w:numPr>
        <w:rPr/>
      </w:pPr>
      <w:r>
        <w:rPr/>
        <w:t xml:space="preserve">Trades designated as hedges by Trades are review and documentation is adequate to maintain hedge accounting treatment in accordance with accounting rules.  Effective 1/1/2001 that documentation requirement consists of </w:t>
      </w:r>
    </w:p>
    <w:p>
      <w:pPr>
        <w:pStyle w:val="Normal"/>
        <w:numPr>
          <w:ilvl w:val="0"/>
          <w:numId w:val="9"/>
        </w:numPr>
        <w:tabs>
          <w:tab w:val="clear" w:pos="720"/>
          <w:tab w:val="left" w:pos="1080" w:leader="none"/>
        </w:tabs>
        <w:ind w:hanging="720" w:start="1080" w:end="0"/>
        <w:rPr/>
      </w:pPr>
      <w:r>
        <w:rPr/>
        <w:t xml:space="preserve">At the hedge’s origin, formal documentation exists of the </w:t>
      </w:r>
    </w:p>
    <w:p>
      <w:pPr>
        <w:pStyle w:val="Normal"/>
        <w:numPr>
          <w:ilvl w:val="0"/>
          <w:numId w:val="17"/>
        </w:numPr>
        <w:tabs>
          <w:tab w:val="clear" w:pos="720"/>
          <w:tab w:val="left" w:pos="1440" w:leader="none"/>
        </w:tabs>
        <w:ind w:hanging="360" w:start="1440" w:end="0"/>
        <w:rPr/>
      </w:pPr>
      <w:r>
        <w:rPr/>
        <w:t>Hedging relationship;</w:t>
      </w:r>
    </w:p>
    <w:p>
      <w:pPr>
        <w:pStyle w:val="Normal"/>
        <w:numPr>
          <w:ilvl w:val="0"/>
          <w:numId w:val="17"/>
        </w:numPr>
        <w:tabs>
          <w:tab w:val="clear" w:pos="720"/>
          <w:tab w:val="left" w:pos="1440" w:leader="none"/>
        </w:tabs>
        <w:ind w:hanging="360" w:start="1440" w:end="0"/>
        <w:rPr/>
      </w:pPr>
      <w:r>
        <w:rPr/>
        <w:t>Risk management objectives;</w:t>
      </w:r>
    </w:p>
    <w:p>
      <w:pPr>
        <w:pStyle w:val="Normal"/>
        <w:numPr>
          <w:ilvl w:val="0"/>
          <w:numId w:val="17"/>
        </w:numPr>
        <w:tabs>
          <w:tab w:val="clear" w:pos="720"/>
          <w:tab w:val="left" w:pos="1440" w:leader="none"/>
        </w:tabs>
        <w:ind w:hanging="360" w:start="1440" w:end="0"/>
        <w:rPr/>
      </w:pPr>
      <w:r>
        <w:rPr/>
        <w:t>Strategy for undertaking the hedge; and</w:t>
      </w:r>
    </w:p>
    <w:p>
      <w:pPr>
        <w:pStyle w:val="Normal"/>
        <w:numPr>
          <w:ilvl w:val="0"/>
          <w:numId w:val="17"/>
        </w:numPr>
        <w:tabs>
          <w:tab w:val="clear" w:pos="720"/>
          <w:tab w:val="left" w:pos="1440" w:leader="none"/>
        </w:tabs>
        <w:ind w:hanging="360" w:start="1440" w:end="0"/>
        <w:rPr/>
      </w:pPr>
      <w:r>
        <w:rPr/>
        <w:t>Identification of the hedged transaction, the hedging instrument, the nature of the hedged risk, the method of assessing effectiveness and the components (if any) that are excluded (such as time value) from the effectiveness assessment.</w:t>
      </w:r>
    </w:p>
    <w:p>
      <w:pPr>
        <w:pStyle w:val="Normal"/>
        <w:numPr>
          <w:ilvl w:val="0"/>
          <w:numId w:val="9"/>
        </w:numPr>
        <w:tabs>
          <w:tab w:val="clear" w:pos="720"/>
          <w:tab w:val="left" w:pos="1080" w:leader="none"/>
        </w:tabs>
        <w:ind w:hanging="720" w:start="1080" w:end="0"/>
        <w:rPr/>
      </w:pPr>
      <w:r>
        <w:rPr/>
        <w:t xml:space="preserve">Documentation must include </w:t>
      </w:r>
    </w:p>
    <w:p>
      <w:pPr>
        <w:pStyle w:val="Normal"/>
        <w:numPr>
          <w:ilvl w:val="0"/>
          <w:numId w:val="24"/>
        </w:numPr>
        <w:tabs>
          <w:tab w:val="clear" w:pos="720"/>
          <w:tab w:val="left" w:pos="1440" w:leader="none"/>
        </w:tabs>
        <w:ind w:hanging="360" w:start="1440" w:end="0"/>
        <w:rPr/>
      </w:pPr>
      <w:r>
        <w:rPr/>
        <w:t>All relevant details;</w:t>
      </w:r>
    </w:p>
    <w:p>
      <w:pPr>
        <w:pStyle w:val="Normal"/>
        <w:numPr>
          <w:ilvl w:val="0"/>
          <w:numId w:val="24"/>
        </w:numPr>
        <w:tabs>
          <w:tab w:val="clear" w:pos="720"/>
          <w:tab w:val="left" w:pos="1440" w:leader="none"/>
        </w:tabs>
        <w:ind w:hanging="360" w:start="1440" w:end="0"/>
        <w:rPr/>
      </w:pPr>
      <w:r>
        <w:rPr/>
        <w:t>The specific nature of any asset or liability involved;</w:t>
      </w:r>
    </w:p>
    <w:p>
      <w:pPr>
        <w:pStyle w:val="Normal"/>
        <w:numPr>
          <w:ilvl w:val="0"/>
          <w:numId w:val="24"/>
        </w:numPr>
        <w:tabs>
          <w:tab w:val="clear" w:pos="720"/>
          <w:tab w:val="left" w:pos="1440" w:leader="none"/>
        </w:tabs>
        <w:ind w:hanging="360" w:start="1440" w:end="0"/>
        <w:rPr/>
      </w:pPr>
      <w:r>
        <w:rPr/>
        <w:t xml:space="preserve">When (date on or period within) a forecasted transaction is expected to occur; and </w:t>
      </w:r>
    </w:p>
    <w:p>
      <w:pPr>
        <w:pStyle w:val="Normal"/>
        <w:numPr>
          <w:ilvl w:val="0"/>
          <w:numId w:val="24"/>
        </w:numPr>
        <w:tabs>
          <w:tab w:val="clear" w:pos="720"/>
          <w:tab w:val="left" w:pos="1440" w:leader="none"/>
        </w:tabs>
        <w:ind w:hanging="360" w:start="1440" w:end="0"/>
        <w:rPr/>
      </w:pPr>
      <w:r>
        <w:rPr/>
        <w:t>Currency amount.</w:t>
      </w:r>
    </w:p>
    <w:p>
      <w:pPr>
        <w:pStyle w:val="BodyTextIndent"/>
        <w:numPr>
          <w:ilvl w:val="0"/>
          <w:numId w:val="9"/>
        </w:numPr>
        <w:tabs>
          <w:tab w:val="clear" w:pos="720"/>
          <w:tab w:val="left" w:pos="1080" w:leader="none"/>
        </w:tabs>
        <w:ind w:hanging="720" w:start="1080" w:end="0"/>
        <w:rPr>
          <w:sz w:val="20"/>
        </w:rPr>
      </w:pPr>
      <w:r>
        <w:rPr>
          <w:sz w:val="20"/>
        </w:rPr>
        <w:t xml:space="preserve">The hedging relationship is expected to be highly effective in producing offsetting cash flows throughout the hedge period.  This relationship must be assessed at inception and at least every 3 months and each time financial statements or earnings are reported.  Highly effective is set at 80% to 125%.   </w:t>
      </w:r>
    </w:p>
    <w:p>
      <w:pPr>
        <w:pStyle w:val="Normal"/>
        <w:numPr>
          <w:ilvl w:val="0"/>
          <w:numId w:val="9"/>
        </w:numPr>
        <w:tabs>
          <w:tab w:val="clear" w:pos="720"/>
          <w:tab w:val="left" w:pos="1080" w:leader="none"/>
        </w:tabs>
        <w:ind w:hanging="720" w:start="1080" w:end="0"/>
        <w:rPr/>
      </w:pPr>
      <w:r>
        <w:rPr/>
        <w:t xml:space="preserve">If hedging with a written option, the combination must provide at least as much potential for positive cash flow changes as exposure to negative cash flow changes. </w:t>
      </w:r>
    </w:p>
    <w:p>
      <w:pPr>
        <w:pStyle w:val="Normal"/>
        <w:ind w:start="1080" w:end="0"/>
        <w:rPr/>
      </w:pPr>
      <w:r>
        <w:rPr/>
      </w:r>
    </w:p>
    <w:p>
      <w:pPr>
        <w:pStyle w:val="Normal"/>
        <w:ind w:start="360" w:end="0"/>
        <w:rPr/>
      </w:pPr>
      <w:r>
        <w:rPr/>
        <w:t xml:space="preserve">In addition to all of the above, to be eligible for designation as a cash flow hedge, a forecasted transaction must meet additional criteria which changes from time to time.  Failure to meet any one of the above criteria disqualifies the Derivative Transaction from hedge accounting. </w:t>
      </w:r>
    </w:p>
    <w:p>
      <w:pPr>
        <w:pStyle w:val="Normal"/>
        <w:rPr/>
      </w:pPr>
      <w:r>
        <w:rPr/>
      </w:r>
    </w:p>
    <w:p>
      <w:pPr>
        <w:pStyle w:val="Normal"/>
        <w:numPr>
          <w:ilvl w:val="0"/>
          <w:numId w:val="19"/>
        </w:numPr>
        <w:rPr/>
      </w:pPr>
      <w:r>
        <w:rPr/>
        <w:t>Contracts requiring Physical Settlement are scheduled and allocated independent of Traders by Market Services.</w:t>
      </w:r>
    </w:p>
    <w:p>
      <w:pPr>
        <w:pStyle w:val="Normal"/>
        <w:rPr/>
      </w:pPr>
      <w:r>
        <w:rPr/>
      </w:r>
    </w:p>
    <w:p>
      <w:pPr>
        <w:pStyle w:val="Normal"/>
        <w:numPr>
          <w:ilvl w:val="0"/>
          <w:numId w:val="18"/>
        </w:numPr>
        <w:rPr/>
      </w:pPr>
      <w:r>
        <w:rPr/>
        <w:t xml:space="preserve">Settlement instructions established and modified independent of the traders.  </w:t>
      </w:r>
    </w:p>
    <w:p>
      <w:pPr>
        <w:pStyle w:val="Normal"/>
        <w:rPr/>
      </w:pPr>
      <w:r>
        <w:rPr/>
      </w:r>
    </w:p>
    <w:p>
      <w:pPr>
        <w:pStyle w:val="Normal"/>
        <w:numPr>
          <w:ilvl w:val="0"/>
          <w:numId w:val="18"/>
        </w:numPr>
        <w:rPr/>
      </w:pPr>
      <w:r>
        <w:rPr/>
        <w:t>Contracts requiring financial settlement are settled independent of Traders by Financial Accounting.  All invoices/payments agree with contractual terms.</w:t>
      </w:r>
    </w:p>
    <w:p>
      <w:pPr>
        <w:pStyle w:val="Normal"/>
        <w:rPr/>
      </w:pPr>
      <w:r>
        <w:rPr/>
      </w:r>
    </w:p>
    <w:p>
      <w:pPr>
        <w:pStyle w:val="Normal"/>
        <w:numPr>
          <w:ilvl w:val="0"/>
          <w:numId w:val="28"/>
        </w:numPr>
        <w:rPr/>
      </w:pPr>
      <w:r>
        <w:rPr/>
        <w:t>Customer account discrepancy resolution and reconciliation process independent from Traders.  All counter-party disputes are resolved within 30 days of dispute date with material exceptions noted and communicated to management.</w:t>
      </w:r>
    </w:p>
    <w:p>
      <w:pPr>
        <w:pStyle w:val="Normal"/>
        <w:rPr/>
      </w:pPr>
      <w:r>
        <w:rPr/>
      </w:r>
    </w:p>
    <w:p>
      <w:pPr>
        <w:pStyle w:val="Normal"/>
        <w:numPr>
          <w:ilvl w:val="0"/>
          <w:numId w:val="26"/>
        </w:numPr>
        <w:rPr/>
      </w:pPr>
      <w:r>
        <w:rPr/>
        <w:t>Customer accounts receivable/payable aging and monitoring/collection.  Overdue cash collections are followed up with counter-parties within 48 hours of due date.</w:t>
      </w:r>
    </w:p>
    <w:p>
      <w:pPr>
        <w:pStyle w:val="Normal"/>
        <w:rPr/>
      </w:pPr>
      <w:r>
        <w:rPr/>
      </w:r>
    </w:p>
    <w:p>
      <w:pPr>
        <w:pStyle w:val="Normal"/>
        <w:numPr>
          <w:ilvl w:val="0"/>
          <w:numId w:val="2"/>
        </w:numPr>
        <w:rPr/>
      </w:pPr>
      <w:r>
        <w:rPr/>
        <w:t>Flash to actual variances and prior month adjustments cleared within 30 days of identification.</w:t>
      </w:r>
    </w:p>
    <w:p>
      <w:pPr>
        <w:pStyle w:val="Normal"/>
        <w:rPr/>
      </w:pPr>
      <w:r>
        <w:rPr/>
      </w:r>
    </w:p>
    <w:p>
      <w:pPr>
        <w:pStyle w:val="Normal"/>
        <w:numPr>
          <w:ilvl w:val="0"/>
          <w:numId w:val="16"/>
        </w:numPr>
        <w:rPr/>
      </w:pPr>
      <w:r>
        <w:rPr/>
        <w:t>Reconcile all trading General Ledger Accounts and clear outstanding items within 7 workdays subsequent to month-end.</w:t>
      </w:r>
    </w:p>
    <w:p>
      <w:pPr>
        <w:pStyle w:val="Normal"/>
        <w:rPr/>
      </w:pPr>
      <w:r>
        <w:rPr/>
      </w:r>
    </w:p>
    <w:p>
      <w:pPr>
        <w:pStyle w:val="Normal"/>
        <w:numPr>
          <w:ilvl w:val="0"/>
          <w:numId w:val="27"/>
        </w:numPr>
        <w:rPr/>
      </w:pPr>
      <w:r>
        <w:rPr/>
        <w:t>Monitoring, reconciling imbalance/UAF/inter-company general Ledger Accounts.</w:t>
      </w:r>
    </w:p>
    <w:p>
      <w:pPr>
        <w:pStyle w:val="Normal"/>
        <w:rPr/>
      </w:pPr>
      <w:r>
        <w:rPr/>
      </w:r>
    </w:p>
    <w:p>
      <w:pPr>
        <w:pStyle w:val="Normal"/>
        <w:numPr>
          <w:ilvl w:val="0"/>
          <w:numId w:val="8"/>
        </w:numPr>
        <w:rPr/>
      </w:pPr>
      <w:r>
        <w:rPr/>
        <w:t>Financial Statements are prepared independent from Traders.</w:t>
      </w:r>
    </w:p>
    <w:p>
      <w:pPr>
        <w:pStyle w:val="Normal"/>
        <w:rPr/>
      </w:pPr>
      <w:r>
        <w:rPr/>
      </w:r>
    </w:p>
    <w:p>
      <w:pPr>
        <w:pStyle w:val="Normal"/>
        <w:rPr/>
      </w:pPr>
      <w:r>
        <w:rPr/>
      </w:r>
    </w:p>
    <w:p>
      <w:pPr>
        <w:pStyle w:val="Normal"/>
        <w:rPr/>
      </w:pPr>
      <w:r>
        <w:rPr/>
      </w:r>
    </w:p>
    <w:p>
      <w:pPr>
        <w:pStyle w:val="Normal"/>
        <w:rPr>
          <w:b/>
        </w:rPr>
      </w:pPr>
      <w:r>
        <w:rPr>
          <w:b/>
        </w:rPr>
      </w:r>
    </w:p>
    <w:p>
      <w:pPr>
        <w:pStyle w:val="Normal"/>
        <w:rPr>
          <w:b/>
        </w:rPr>
      </w:pPr>
      <w:r>
        <w:rPr>
          <w:b/>
        </w:rPr>
      </w:r>
    </w:p>
    <w:p>
      <w:pPr>
        <w:pStyle w:val="Normal"/>
        <w:rPr/>
      </w:pPr>
      <w:r>
        <w:rPr/>
      </w:r>
    </w:p>
    <w:sectPr>
      <w:type w:val="nextPage"/>
      <w:pgSz w:w="12240" w:h="15840"/>
      <w:pgMar w:left="2606" w:right="180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decimal"/>
      <w:lvlText w:val="%1."/>
      <w:lvlJc w:val="start"/>
      <w:pPr>
        <w:tabs>
          <w:tab w:val="num" w:pos="720"/>
        </w:tabs>
        <w:ind w:start="720" w:hanging="720"/>
      </w:pPr>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Roman"/>
      <w:lvlText w:val="%1."/>
      <w:lvlJc w:val="start"/>
      <w:pPr>
        <w:tabs>
          <w:tab w:val="num" w:pos="720"/>
        </w:tabs>
        <w:ind w:start="720" w:hanging="720"/>
      </w:pPr>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lowerLetter"/>
      <w:lvlText w:val="%1."/>
      <w:lvlJc w:val="start"/>
      <w:pPr>
        <w:tabs>
          <w:tab w:val="num" w:pos="1080"/>
        </w:tabs>
        <w:ind w:start="1080" w:hanging="360"/>
      </w:pPr>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lowerLetter"/>
      <w:lvlText w:val="%1."/>
      <w:lvlJc w:val="start"/>
      <w:pPr>
        <w:tabs>
          <w:tab w:val="num" w:pos="1080"/>
        </w:tabs>
        <w:ind w:start="1080" w:hanging="360"/>
      </w:pPr>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u w:val="single"/>
    </w:rPr>
  </w:style>
  <w:style w:type="paragraph" w:styleId="Heading3">
    <w:name w:val="heading 3"/>
    <w:basedOn w:val="Normal"/>
    <w:next w:val="Normal"/>
    <w:qFormat/>
    <w:pPr>
      <w:keepNext w:val="true"/>
      <w:numPr>
        <w:ilvl w:val="0"/>
        <w:numId w:val="12"/>
      </w:numPr>
      <w:outlineLvl w:val="2"/>
    </w:pPr>
    <w:rPr>
      <w:b/>
      <w:sz w:val="24"/>
    </w:rPr>
  </w:style>
  <w:style w:type="paragraph" w:styleId="Heading4">
    <w:name w:val="heading 4"/>
    <w:basedOn w:val="Normal"/>
    <w:next w:val="Normal"/>
    <w:qFormat/>
    <w:pPr>
      <w:keepNext w:val="true"/>
      <w:numPr>
        <w:ilvl w:val="3"/>
        <w:numId w:val="1"/>
      </w:numPr>
      <w:jc w:val="center"/>
      <w:outlineLvl w:val="3"/>
    </w:pPr>
    <w:rPr>
      <w:b/>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z w:val="24"/>
    </w:rPr>
  </w:style>
  <w:style w:type="paragraph" w:styleId="BodyTextIndent2">
    <w:name w:val="Body Text Indent 2"/>
    <w:basedOn w:val="Normal"/>
    <w:qFormat/>
    <w:pPr>
      <w:ind w:hanging="0" w:start="720" w:end="0"/>
    </w:pPr>
    <w:rPr>
      <w:sz w:val="36"/>
    </w:rPr>
  </w:style>
  <w:style w:type="paragraph" w:styleId="BodyTextIndent3">
    <w:name w:val="Body Text Indent 3"/>
    <w:basedOn w:val="Normal"/>
    <w:qFormat/>
    <w:pPr>
      <w:ind w:hanging="0" w:start="720" w:end="0"/>
    </w:pPr>
    <w:rPr>
      <w:sz w:val="24"/>
    </w:rPr>
  </w:style>
  <w:style w:type="paragraph" w:styleId="BodyText3">
    <w:name w:val="Body Text 3"/>
    <w:basedOn w:val="Normal"/>
    <w:qFormat/>
    <w:pPr/>
    <w:rPr>
      <w:sz w:val="24"/>
    </w:rPr>
  </w:style>
  <w:style w:type="paragraph" w:styleId="BodyText2">
    <w:name w:val="Body Text 2"/>
    <w:basedOn w:val="Normal"/>
    <w:qFormat/>
    <w:pPr/>
    <w:rPr>
      <w:i/>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2000-11-06T19:33:00Z</dcterms:created>
  <dc:creator>Enron Transportation &amp; Storage</dc:creator>
  <dc:description/>
  <dc:language>en-CA</dc:language>
  <cp:lastModifiedBy>Enron Transportation &amp; Storage</cp:lastModifiedBy>
  <cp:lastPrinted>2000-11-06T15:34:00Z</cp:lastPrinted>
  <dcterms:modified xsi:type="dcterms:W3CDTF">2000-11-09T16:36:00Z</dcterms:modified>
  <cp:revision>13</cp:revision>
  <dc:subject/>
  <dc:title>Northern Natural Gas Company</dc:title>
</cp:coreProperties>
</file>