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June 19, 2001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Attachment #2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ESBI ALBERTA LTD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 xml:space="preserve">STAKEHOLDERS’ PRIORITIES IDENTIFIED </w:t>
      </w:r>
    </w:p>
    <w:p>
      <w:pPr>
        <w:pStyle w:val="Normal"/>
        <w:spacing w:lineRule="auto" w:line="360"/>
        <w:jc w:val="center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4"/>
        </w:rPr>
        <w:t>FROM APRIL 23, 2001 TARIFF MEETING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Heading1"/>
        <w:ind w:hanging="0" w:start="0"/>
        <w:rPr>
          <w:b w:val="false"/>
          <w:sz w:val="22"/>
          <w:u w:val="none"/>
        </w:rPr>
      </w:pPr>
      <w:r>
        <w:rPr>
          <w:sz w:val="22"/>
        </w:rPr>
        <w:t>Transmission Development and Congestion Management</w:t>
      </w:r>
    </w:p>
    <w:p>
      <w:pPr>
        <w:pStyle w:val="Normal"/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Customer Contribution/Commercial Classification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System Planning Criteria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North-South Transmission Line Upgrade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Congestion Management (inter-jurisdictional and intra-Alberta)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Heading2"/>
        <w:ind w:hanging="0" w:start="0"/>
        <w:rPr>
          <w:u w:val="none"/>
        </w:rPr>
      </w:pPr>
      <w:r>
        <w:rPr/>
        <w:t>Other Priorities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Customer Service Response Time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numPr>
          <w:ilvl w:val="0"/>
          <w:numId w:val="2"/>
        </w:numPr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Loss Factor Calculation Methodology</w:t>
      </w:r>
    </w:p>
    <w:p>
      <w:pPr>
        <w:pStyle w:val="Normal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 Antiqua" w:hAnsi="Book Antiqua" w:cs="Book Antiqua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 Antiqua" w:hAnsi="Book Antiqua" w:cs="Book Antiqua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  <w:u w:val="single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2001-06-20T14:24:00Z</dcterms:created>
  <dc:creator>DNering</dc:creator>
  <dc:description/>
  <dc:language>en-CA</dc:language>
  <cp:lastModifiedBy>sbourque</cp:lastModifiedBy>
  <cp:lastPrinted>2001-06-20T11:57:00Z</cp:lastPrinted>
  <dcterms:modified xsi:type="dcterms:W3CDTF">2001-06-20T15:27:00Z</dcterms:modified>
  <cp:revision>4</cp:revision>
  <dc:subject/>
  <dc:title>ESBI ALBERTA LTD</dc:title>
</cp:coreProperties>
</file>