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50" w:type="dxa"/>
        <w:jc w:val="start"/>
        <w:tblInd w:w="-432" w:type="dxa"/>
        <w:tblLayout w:type="fixed"/>
        <w:tblCellMar>
          <w:top w:w="0" w:type="dxa"/>
          <w:start w:w="108" w:type="dxa"/>
          <w:bottom w:w="0" w:type="dxa"/>
          <w:end w:w="108" w:type="dxa"/>
        </w:tblCellMar>
      </w:tblPr>
      <w:tblGrid>
        <w:gridCol w:w="450"/>
        <w:gridCol w:w="1800"/>
        <w:gridCol w:w="4680"/>
        <w:gridCol w:w="1170"/>
        <w:gridCol w:w="1800"/>
        <w:gridCol w:w="450"/>
      </w:tblGrid>
      <w:tr>
        <w:trPr>
          <w:trHeight w:val="1440" w:hRule="exact"/>
        </w:trPr>
        <w:tc>
          <w:tcPr>
            <w:tcW w:w="2250" w:type="dxa"/>
            <w:gridSpan w:val="2"/>
            <w:vMerge w:val="restart"/>
            <w:tcBorders/>
          </w:tcPr>
          <w:p>
            <w:pPr>
              <w:pStyle w:val="Normal"/>
              <w:snapToGrid w:val="false"/>
              <w:rPr>
                <w:sz w:val="20"/>
                <w:lang w:val="en-CA" w:eastAsia="en-CA"/>
              </w:rPr>
            </w:pPr>
            <w:r>
              <w:rPr>
                <w:sz w:val="20"/>
                <w:lang w:val="en-CA" w:eastAsia="en-CA"/>
              </w:rPr>
            </w:r>
            <w:r>
              <mc:AlternateContent>
                <mc:Choice Requires="wps">
                  <w:drawing>
                    <wp:anchor behindDoc="0" distT="0" distB="0" distL="114935" distR="114935" simplePos="0" locked="0" layoutInCell="0" allowOverlap="1" relativeHeight="4">
                      <wp:simplePos x="0" y="0"/>
                      <wp:positionH relativeFrom="margin">
                        <wp:posOffset>-365760</wp:posOffset>
                      </wp:positionH>
                      <wp:positionV relativeFrom="paragraph">
                        <wp:posOffset>-12065</wp:posOffset>
                      </wp:positionV>
                      <wp:extent cx="1089660" cy="1089660"/>
                      <wp:effectExtent l="0" t="0" r="0" b="0"/>
                      <wp:wrapNone/>
                      <wp:docPr id="1" name="Frame1"/>
                      <a:graphic xmlns:a="http://schemas.openxmlformats.org/drawingml/2006/main">
                        <a:graphicData uri="http://schemas.microsoft.com/office/word/2010/wordprocessingShape">
                          <wps:wsp>
                            <wps:cNvSpPr txBox="1"/>
                            <wps:spPr>
                              <a:xfrm>
                                <a:off x="0" y="0"/>
                                <a:ext cx="1089660" cy="1089660"/>
                              </a:xfrm>
                              <a:prstGeom prst="rect"/>
                              <a:solidFill>
                                <a:srgbClr val="FFFFFF">
                                  <a:alpha val="0"/>
                                </a:srgbClr>
                              </a:solidFill>
                            </wps:spPr>
                            <wps:txbx>
                              <w:txbxContent>
                                <w:p>
                                  <w:pPr>
                                    <w:pStyle w:val="Normal"/>
                                    <w:rPr/>
                                  </w:pPr>
                                  <w:r>
                                    <w:rPr/>
                                    <w:drawing>
                                      <wp:inline distT="0" distB="0" distL="0" distR="0">
                                        <wp:extent cx="1064895" cy="106616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7476" t="32874" r="27476" b="32419"/>
                                                <a:stretch>
                                                  <a:fillRect/>
                                                </a:stretch>
                                              </pic:blipFill>
                                              <pic:spPr bwMode="auto">
                                                <a:xfrm>
                                                  <a:off x="0" y="0"/>
                                                  <a:ext cx="1064895" cy="1066165"/>
                                                </a:xfrm>
                                                <a:prstGeom prst="rect">
                                                  <a:avLst/>
                                                </a:prstGeom>
                                                <a:noFill/>
                                              </pic:spPr>
                                            </pic:pic>
                                          </a:graphicData>
                                        </a:graphic>
                                      </wp:inline>
                                    </w:drawing>
                                  </w:r>
                                </w:p>
                              </w:txbxContent>
                            </wps:txbx>
                            <wps:bodyPr anchor="t" lIns="13335" tIns="13335" rIns="13335" bIns="13335">
                              <a:noAutofit/>
                            </wps:bodyPr>
                          </wps:wsp>
                        </a:graphicData>
                      </a:graphic>
                    </wp:anchor>
                  </w:drawing>
                </mc:Choice>
                <mc:Fallback>
                  <w:pict>
                    <v:rect fillcolor="#FFFFFF" style="position:absolute;rotation:-0;width:85.8pt;height:85.8pt;mso-wrap-distance-left:9.05pt;mso-wrap-distance-right:9.05pt;mso-wrap-distance-top:0pt;mso-wrap-distance-bottom:0pt;margin-top:-0.95pt;mso-position-vertical-relative:text;margin-left:-28.8pt;mso-position-horizontal-relative:margin">
                      <v:fill opacity="0f"/>
                      <v:textbox inset="0.0145833333333333in,0.0145833333333333in,0.0145833333333333in,0.0145833333333333in">
                        <w:txbxContent>
                          <w:p>
                            <w:pPr>
                              <w:pStyle w:val="Normal"/>
                              <w:rPr/>
                            </w:pPr>
                            <w:r>
                              <w:rPr/>
                              <w:drawing>
                                <wp:inline distT="0" distB="0" distL="0" distR="0">
                                  <wp:extent cx="1064895" cy="106616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7476" t="32874" r="27476" b="32419"/>
                                          <a:stretch>
                                            <a:fillRect/>
                                          </a:stretch>
                                        </pic:blipFill>
                                        <pic:spPr bwMode="auto">
                                          <a:xfrm>
                                            <a:off x="0" y="0"/>
                                            <a:ext cx="1064895" cy="1066165"/>
                                          </a:xfrm>
                                          <a:prstGeom prst="rect">
                                            <a:avLst/>
                                          </a:prstGeom>
                                          <a:noFill/>
                                        </pic:spPr>
                                      </pic:pic>
                                    </a:graphicData>
                                  </a:graphic>
                                </wp:inline>
                              </w:drawing>
                            </w:r>
                          </w:p>
                        </w:txbxContent>
                      </v:textbox>
                      <w10:wrap type="none"/>
                    </v:rect>
                  </w:pict>
                </mc:Fallback>
              </mc:AlternateContent>
            </w:r>
          </w:p>
        </w:tc>
        <w:tc>
          <w:tcPr>
            <w:tcW w:w="5850" w:type="dxa"/>
            <w:gridSpan w:val="2"/>
            <w:tcBorders/>
          </w:tcPr>
          <w:p>
            <w:pPr>
              <w:pStyle w:val="Heading2"/>
              <w:ind w:hanging="0" w:start="0"/>
              <w:rPr>
                <w:color w:val="000000"/>
              </w:rPr>
            </w:pPr>
            <w:r>
              <w:rPr>
                <w:color w:val="000000"/>
              </w:rPr>
              <w:t>Department of Energy</w:t>
            </w:r>
          </w:p>
          <w:p>
            <w:pPr>
              <w:pStyle w:val="Normal"/>
              <w:rPr>
                <w:color w:val="000000"/>
                <w:sz w:val="20"/>
              </w:rPr>
            </w:pPr>
            <w:r>
              <w:rPr>
                <w:color w:val="000000"/>
                <w:sz w:val="20"/>
              </w:rPr>
            </w:r>
          </w:p>
          <w:p>
            <w:pPr>
              <w:pStyle w:val="Normal"/>
              <w:jc w:val="center"/>
              <w:rPr>
                <w:sz w:val="20"/>
              </w:rPr>
            </w:pPr>
            <w:r>
              <w:rPr>
                <w:sz w:val="20"/>
              </w:rPr>
              <w:t>Bonneville Power Administration</w:t>
            </w:r>
          </w:p>
          <w:p>
            <w:pPr>
              <w:pStyle w:val="Normal"/>
              <w:jc w:val="center"/>
              <w:rPr>
                <w:sz w:val="20"/>
              </w:rPr>
            </w:pPr>
            <w:r>
              <w:rPr>
                <w:sz w:val="20"/>
              </w:rPr>
              <w:t>P.O. Box 491</w:t>
            </w:r>
          </w:p>
          <w:p>
            <w:pPr>
              <w:pStyle w:val="Normal"/>
              <w:jc w:val="center"/>
              <w:rPr>
                <w:sz w:val="20"/>
              </w:rPr>
            </w:pPr>
            <w:r>
              <w:rPr>
                <w:sz w:val="20"/>
              </w:rPr>
              <w:t>Vancouver, Washington  98666-0491</w:t>
            </w:r>
          </w:p>
        </w:tc>
        <w:tc>
          <w:tcPr>
            <w:tcW w:w="2250" w:type="dxa"/>
            <w:gridSpan w:val="2"/>
            <w:tcBorders/>
          </w:tcPr>
          <w:p>
            <w:pPr>
              <w:pStyle w:val="Normal"/>
              <w:rPr>
                <w:rFonts w:ascii="Times New Roman" w:hAnsi="Times New Roman" w:cs="Times New Roman"/>
              </w:rPr>
            </w:pPr>
            <w:r>
              <w:fldChar w:fldCharType="begin">
                <w:ffData>
                  <w:name w:val="Dropdown1"/>
                  <w:enabled/>
                  <w:ddList>
                    <w:result w:val="0"/>
                    <w:listEntry w:val="                         "/>
                    <w:listEntry w:val="Official File Copy"/>
                    <w:listEntry w:val="Reading File Copy"/>
                  </w:ddList>
                </w:ffData>
              </w:fldChar>
            </w:r>
            <w:r>
              <w:rPr>
                <w:rFonts w:cs="Times New Roman" w:ascii="Times New Roman" w:hAnsi="Times New Roman"/>
                <w:lang w:val="en-CA" w:eastAsia="en-CA"/>
              </w:rPr>
              <w:instrText xml:space="preserve"> FORMDROPDOWN </w:instrText>
            </w:r>
            <w:r>
              <w:rPr>
                <w:rFonts w:cs="Times New Roman" w:ascii="Times New Roman" w:hAnsi="Times New Roman"/>
                <w:lang w:val="en-CA" w:eastAsia="en-CA"/>
              </w:rPr>
              <w:fldChar w:fldCharType="separate"/>
            </w:r>
            <w:bookmarkStart w:id="0" w:name="Dropdown1"/>
            <w:bookmarkStart w:id="1" w:name="Dropdown1"/>
            <w:bookmarkEnd w:id="1"/>
            <w:r/>
            <w:r>
              <w:rPr>
                <w:rFonts w:cs="Times New Roman" w:ascii="Times New Roman" w:hAnsi="Times New Roman"/>
                <w:lang w:val="en-CA" w:eastAsia="en-CA"/>
              </w:rPr>
              <w:fldChar w:fldCharType="end"/>
            </w:r>
            <w:r>
              <w:rPr>
                <w:rFonts w:cs="Times New Roman" w:ascii="Times New Roman" w:hAnsi="Times New Roman"/>
                <w:lang w:val="en-CA" w:eastAsia="en-CA"/>
              </w:rPr>
            </w:r>
          </w:p>
        </w:tc>
      </w:tr>
      <w:tr>
        <w:trPr>
          <w:trHeight w:val="600" w:hRule="exact"/>
        </w:trPr>
        <w:tc>
          <w:tcPr>
            <w:tcW w:w="2250" w:type="dxa"/>
            <w:gridSpan w:val="2"/>
            <w:vMerge w:val="continue"/>
            <w:tcBorders/>
          </w:tcPr>
          <w:p>
            <w:pPr>
              <w:pStyle w:val="Normal"/>
              <w:snapToGrid w:val="false"/>
              <w:rPr>
                <w:rFonts w:ascii="Times New Roman" w:hAnsi="Times New Roman" w:cs="Times New Roman"/>
              </w:rPr>
            </w:pPr>
            <w:r>
              <w:rPr>
                <w:rFonts w:cs="Times New Roman" w:ascii="Times New Roman" w:hAnsi="Times New Roman"/>
              </w:rPr>
            </w:r>
          </w:p>
        </w:tc>
        <w:tc>
          <w:tcPr>
            <w:tcW w:w="4680" w:type="dxa"/>
            <w:tcBorders/>
          </w:tcPr>
          <w:p>
            <w:pPr>
              <w:pStyle w:val="Normal"/>
              <w:snapToGrid w:val="false"/>
              <w:rPr>
                <w:rFonts w:ascii="Times New Roman" w:hAnsi="Times New Roman" w:cs="Times New Roman"/>
              </w:rPr>
            </w:pPr>
            <w:r>
              <w:rPr>
                <w:rFonts w:cs="Times New Roman" w:ascii="Times New Roman" w:hAnsi="Times New Roman"/>
              </w:rPr>
            </w:r>
          </w:p>
        </w:tc>
        <w:tc>
          <w:tcPr>
            <w:tcW w:w="3420" w:type="dxa"/>
            <w:gridSpan w:val="3"/>
            <w:tcBorders/>
          </w:tcPr>
          <w:p>
            <w:pPr>
              <w:pStyle w:val="Normal"/>
              <w:rPr>
                <w:rFonts w:ascii="Times New Roman" w:hAnsi="Times New Roman" w:cs="Times New Roman"/>
              </w:rPr>
            </w:pPr>
            <w:r>
              <w:fldChar w:fldCharType="begin">
                <w:ffData>
                  <w:name w:val="Dropdown2"/>
                  <w:enabled/>
                  <w:ddList>
                    <w:result w:val="3"/>
                    <w:listEntry w:val="                          "/>
                    <w:listEntry w:val="POWER BUSINESS LINE"/>
                    <w:listEntry w:val="SHARED SERVICES"/>
                    <w:listEntry w:val="TRANSMISSION BUSINESS LINE"/>
                  </w:ddList>
                </w:ffData>
              </w:fldChar>
            </w:r>
            <w:r>
              <w:rPr>
                <w:rFonts w:cs="Times New Roman" w:ascii="Times New Roman" w:hAnsi="Times New Roman"/>
              </w:rPr>
              <w:instrText xml:space="preserve"> FORMDROPDOWN </w:instrText>
            </w:r>
            <w:r>
              <w:rPr>
                <w:rFonts w:cs="Times New Roman" w:ascii="Times New Roman" w:hAnsi="Times New Roman"/>
              </w:rPr>
              <w:fldChar w:fldCharType="separate"/>
            </w:r>
            <w:bookmarkStart w:id="2" w:name="Dropdown2"/>
            <w:bookmarkStart w:id="3" w:name="Dropdown2"/>
            <w:bookmarkEnd w:id="3"/>
            <w:r/>
            <w:r>
              <w:rPr>
                <w:rFonts w:cs="Times New Roman" w:ascii="Times New Roman" w:hAnsi="Times New Roman"/>
              </w:rPr>
              <w:fldChar w:fldCharType="end"/>
            </w:r>
            <w:r>
              <w:rPr>
                <w:rFonts w:cs="Times New Roman" w:ascii="Times New Roman" w:hAnsi="Times New Roman"/>
              </w:rPr>
            </w:r>
          </w:p>
        </w:tc>
      </w:tr>
      <w:tr>
        <w:trPr/>
        <w:tc>
          <w:tcPr>
            <w:tcW w:w="450" w:type="dxa"/>
            <w:tcBorders/>
            <w:tcMar>
              <w:start w:w="0" w:type="dxa"/>
              <w:end w:w="0" w:type="dxa"/>
            </w:tcMar>
          </w:tcPr>
          <w:p>
            <w:pPr>
              <w:pStyle w:val="Normal"/>
              <w:rPr>
                <w:rFonts w:ascii="Times New Roman" w:hAnsi="Times New Roman" w:cs="Times New Roman"/>
              </w:rPr>
            </w:pPr>
            <w:r>
              <w:rPr>
                <w:rFonts w:cs="Times New Roman" w:ascii="Times New Roman" w:hAnsi="Times New Roman"/>
              </w:rPr>
            </w:r>
          </w:p>
        </w:tc>
        <w:tc>
          <w:tcPr>
            <w:tcW w:w="9450" w:type="dxa"/>
            <w:gridSpan w:val="4"/>
            <w:tcBorders/>
          </w:tcPr>
          <w:p>
            <w:pPr>
              <w:pStyle w:val="Normal"/>
              <w:rPr>
                <w:rFonts w:ascii="Times New Roman" w:hAnsi="Times New Roman" w:cs="Times New Roman"/>
                <w:sz w:val="24"/>
              </w:rPr>
            </w:pPr>
            <w:r>
              <w:fldChar w:fldCharType="begin">
                <w:ffData>
                  <w:name w:val="Text1"/>
                  <w:enabled/>
                  <w:calcOnExit w:val="0"/>
                  <w:textInput/>
                </w:ffData>
              </w:fldChar>
            </w:r>
            <w:r>
              <w:rPr>
                <w:sz w:val="24"/>
                <w:rFonts w:cs="Times New Roman" w:ascii="Times New Roman" w:hAnsi="Times New Roman"/>
                <w:lang w:val="en-CA" w:eastAsia="en-CA"/>
              </w:rPr>
              <w:instrText xml:space="preserve"> FORMTEXT </w:instrText>
            </w:r>
            <w:r>
              <w:rPr>
                <w:rFonts w:cs="Times New Roman" w:ascii="Times New Roman" w:hAnsi="Times New Roman"/>
                <w:sz w:val="24"/>
                <w:lang w:val="en-CA" w:eastAsia="en-CA"/>
              </w:rPr>
            </w:r>
            <w:r>
              <w:rPr>
                <w:sz w:val="24"/>
                <w:rFonts w:cs="Times New Roman" w:ascii="Times New Roman" w:hAnsi="Times New Roman"/>
                <w:lang w:val="en-CA" w:eastAsia="en-CA"/>
              </w:rPr>
              <w:fldChar w:fldCharType="separate"/>
            </w:r>
            <w:r>
              <w:rPr>
                <w:rFonts w:cs="Times New Roman" w:ascii="Times New Roman" w:hAnsi="Times New Roman"/>
                <w:sz w:val="24"/>
                <w:lang w:val="en-CA" w:eastAsia="en-CA"/>
              </w:rPr>
              <w:t>November 29, 2001</w:t>
            </w:r>
            <w:r/>
            <w:r>
              <w:rPr>
                <w:sz w:val="24"/>
                <w:rFonts w:cs="Times New Roman" w:ascii="Times New Roman" w:hAnsi="Times New Roman"/>
                <w:lang w:val="en-CA" w:eastAsia="en-CA"/>
              </w:rPr>
              <w:fldChar w:fldCharType="end"/>
            </w:r>
            <w:r>
              <w:rPr>
                <w:rFonts w:cs="Times New Roman" w:ascii="Times New Roman" w:hAnsi="Times New Roman"/>
                <w:sz w:val="24"/>
                <w:lang w:val="en-CA" w:eastAsia="en-CA"/>
              </w:rPr>
            </w:r>
          </w:p>
          <w:p>
            <w:pPr>
              <w:pStyle w:val="Normal"/>
              <w:rPr>
                <w:rFonts w:ascii="Times New Roman" w:hAnsi="Times New Roman" w:cs="Times New Roman"/>
                <w:b/>
                <w:sz w:val="18"/>
              </w:rPr>
            </w:pPr>
            <w:r>
              <w:rPr>
                <w:rFonts w:cs="Times New Roman" w:ascii="Times New Roman" w:hAnsi="Times New Roman"/>
                <w:b/>
                <w:sz w:val="18"/>
              </w:rPr>
            </w:r>
          </w:p>
          <w:p>
            <w:pPr>
              <w:pStyle w:val="Normal"/>
              <w:rPr>
                <w:rFonts w:ascii="Times New Roman" w:hAnsi="Times New Roman" w:cs="Times New Roman"/>
                <w:sz w:val="24"/>
              </w:rPr>
            </w:pPr>
            <w:r>
              <w:rPr>
                <w:rFonts w:cs="Times New Roman" w:ascii="Times New Roman" w:hAnsi="Times New Roman"/>
                <w:sz w:val="24"/>
              </w:rPr>
              <w:t xml:space="preserve">In reply refer to:  </w:t>
            </w:r>
            <w:r>
              <w:fldChar w:fldCharType="begin">
                <w:ffData>
                  <w:name w:val="Text2"/>
                  <w:enabled/>
                  <w:calcOnExit w:val="0"/>
                  <w:textInput/>
                </w:ffData>
              </w:fldChar>
            </w:r>
            <w:r>
              <w:rPr>
                <w:sz w:val="24"/>
                <w:rFonts w:cs="Times New Roman" w:ascii="Times New Roman" w:hAnsi="Times New Roman"/>
                <w:lang w:val="en-CA" w:eastAsia="en-CA"/>
              </w:rPr>
              <w:instrText xml:space="preserve"> FORMTEXT </w:instrText>
            </w:r>
            <w:r>
              <w:rPr>
                <w:rFonts w:cs="Times New Roman" w:ascii="Times New Roman" w:hAnsi="Times New Roman"/>
                <w:sz w:val="24"/>
                <w:lang w:val="en-CA" w:eastAsia="en-CA"/>
              </w:rPr>
            </w:r>
            <w:r>
              <w:rPr>
                <w:sz w:val="24"/>
                <w:rFonts w:cs="Times New Roman" w:ascii="Times New Roman" w:hAnsi="Times New Roman"/>
                <w:lang w:val="en-CA" w:eastAsia="en-CA"/>
              </w:rPr>
              <w:fldChar w:fldCharType="separate"/>
            </w:r>
            <w:r>
              <w:rPr>
                <w:rFonts w:cs="Times New Roman" w:ascii="Times New Roman" w:hAnsi="Times New Roman"/>
                <w:sz w:val="24"/>
                <w:lang w:val="en-CA" w:eastAsia="en-CA"/>
              </w:rPr>
              <w:t>TM-Ditt2</w:t>
            </w:r>
            <w:r/>
            <w:r>
              <w:rPr>
                <w:sz w:val="24"/>
                <w:rFonts w:cs="Times New Roman" w:ascii="Times New Roman" w:hAnsi="Times New Roman"/>
                <w:lang w:val="en-CA" w:eastAsia="en-CA"/>
              </w:rPr>
              <w:fldChar w:fldCharType="end"/>
            </w:r>
            <w:r>
              <w:rPr>
                <w:rFonts w:cs="Times New Roman" w:ascii="Times New Roman" w:hAnsi="Times New Roman"/>
                <w:sz w:val="24"/>
                <w:lang w:val="en-CA" w:eastAsia="en-CA"/>
              </w:rPr>
            </w:r>
          </w:p>
          <w:p>
            <w:pPr>
              <w:pStyle w:val="Normal"/>
              <w:rPr>
                <w:rFonts w:ascii="Times New Roman" w:hAnsi="Times New Roman" w:cs="Times New Roman"/>
                <w:sz w:val="24"/>
              </w:rPr>
            </w:pPr>
            <w:r>
              <w:rPr>
                <w:rFonts w:cs="Times New Roman" w:ascii="Times New Roman" w:hAnsi="Times New Roman"/>
                <w:sz w:val="24"/>
              </w:rPr>
            </w:r>
          </w:p>
        </w:tc>
        <w:tc>
          <w:tcPr>
            <w:tcW w:w="450" w:type="dxa"/>
            <w:tcBorders/>
            <w:tcMar>
              <w:start w:w="0" w:type="dxa"/>
              <w:end w:w="0" w:type="dxa"/>
            </w:tcMar>
          </w:tcPr>
          <w:p>
            <w:pPr>
              <w:pStyle w:val="Normal"/>
              <w:snapToGrid w:val="false"/>
              <w:rPr>
                <w:rFonts w:ascii="Times New Roman" w:hAnsi="Times New Roman" w:cs="Times New Roman"/>
                <w:sz w:val="24"/>
              </w:rPr>
            </w:pPr>
            <w:r>
              <w:rPr>
                <w:rFonts w:cs="Times New Roman" w:ascii="Times New Roman" w:hAnsi="Times New Roman"/>
                <w:sz w:val="24"/>
              </w:rPr>
            </w:r>
          </w:p>
        </w:tc>
      </w:tr>
    </w:tbl>
    <w:p>
      <w:pPr>
        <w:sectPr>
          <w:headerReference w:type="default" r:id="rId4"/>
          <w:headerReference w:type="first" r:id="rId5"/>
          <w:type w:val="continuous"/>
          <w:pgSz w:w="12240" w:h="15840"/>
          <w:pgMar w:left="1440" w:right="1440" w:gutter="0" w:header="1440" w:top="1496" w:footer="0" w:bottom="1440"/>
          <w:formProt w:val="true"/>
          <w:titlePg/>
          <w:textDirection w:val="lrTb"/>
          <w:docGrid w:type="default" w:linePitch="360" w:charSpace="0"/>
        </w:sectPr>
      </w:pPr>
    </w:p>
    <w:p>
      <w:pPr>
        <w:pStyle w:val="Normal"/>
        <w:rPr>
          <w:rFonts w:ascii="Times New Roman" w:hAnsi="Times New Roman" w:cs="Times New Roman"/>
          <w:color w:val="000000"/>
          <w:sz w:val="24"/>
        </w:rPr>
      </w:pPr>
      <w:r>
        <w:rPr>
          <w:rFonts w:cs="Times New Roman" w:ascii="Times New Roman" w:hAnsi="Times New Roman"/>
          <w:color w:val="000000"/>
          <w:sz w:val="24"/>
        </w:rPr>
        <w:t>Mr. Timothy Belden, Vice President</w:t>
      </w:r>
    </w:p>
    <w:p>
      <w:pPr>
        <w:pStyle w:val="Normal"/>
        <w:rPr>
          <w:rFonts w:ascii="Times New Roman" w:hAnsi="Times New Roman" w:cs="Times New Roman"/>
          <w:color w:val="000000"/>
          <w:sz w:val="24"/>
        </w:rPr>
      </w:pPr>
      <w:r>
        <w:rPr>
          <w:rFonts w:cs="Times New Roman" w:ascii="Times New Roman" w:hAnsi="Times New Roman"/>
          <w:color w:val="000000"/>
          <w:sz w:val="24"/>
        </w:rPr>
        <w:t>Enron Power Marketing, Inc.</w:t>
      </w:r>
    </w:p>
    <w:p>
      <w:pPr>
        <w:pStyle w:val="Normal"/>
        <w:rPr>
          <w:rFonts w:ascii="Times New Roman" w:hAnsi="Times New Roman" w:cs="Times New Roman"/>
          <w:color w:val="000000"/>
          <w:sz w:val="24"/>
        </w:rPr>
      </w:pPr>
      <w:r>
        <w:rPr>
          <w:rFonts w:cs="Times New Roman" w:ascii="Times New Roman" w:hAnsi="Times New Roman"/>
          <w:color w:val="000000"/>
          <w:sz w:val="24"/>
        </w:rPr>
        <w:t>121 SW Salmon, 3WTC0306</w:t>
      </w:r>
    </w:p>
    <w:p>
      <w:pPr>
        <w:pStyle w:val="Normal"/>
        <w:rPr>
          <w:rFonts w:ascii="Times New Roman" w:hAnsi="Times New Roman" w:cs="Times New Roman"/>
          <w:color w:val="000000"/>
          <w:sz w:val="24"/>
        </w:rPr>
      </w:pPr>
      <w:r>
        <w:rPr>
          <w:rFonts w:cs="Times New Roman" w:ascii="Times New Roman" w:hAnsi="Times New Roman"/>
          <w:color w:val="000000"/>
          <w:sz w:val="24"/>
        </w:rPr>
        <w:t>Portland, OR 97204</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t>Dear Mr. Belden:</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t>The Bonneville Power Administration (BPA) adopted an open access transmission tariff (OATT) based largely upon the Federal Energy Regulatory Commission’s (FERC) pro forma tariff.  The OATT includes a creditworthiness provision.  BPAT has determined that recent events including, but not limited to, the Standard &amp; Poor’s Corporation’s downgrade of Enron Corporation’s  (Enron) debt to B- and Dynegy Inc.’s withdrawal from merger negotiations with Enron represent a material adverse change in Enron’s financial viability.  Given the change in Enron’s financial viability, and the creditworthiness provision of the OATT, BPA requires Enron to prepay for all scheduled transactions for transmission service.  Unless funds have been received by BPA as described below, BPA will not accept the submitted scheduling requests.</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t>Prepayment for scheduled transmission service shall be wire transferred to the Federal Reserve Bank in New York City.  Many banks refer to this as a FEDWIRE.  The three-hour time difference between the East Coast and the West Coast needs to be considered when making the payment.  The customer’s bank can provide the information when the time deadline will occur daily.  BPA will verify that the payment has been received by the Federal Reserve Bank and, while a payment wired early in the day may be verified the same day, it is possible that a verification of the payment will not be possible until the following day.  It is Enron’s responsibility to complete the wire transfer sufficiently in advance of its intended schedule date and time to enable BPA to verify that the funds have been received by the Federal Reserve Bank.  BPA’s inability to verify receipt of the funds will result in a rejection of the schedule.</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t>Any transmission schedule submitted by Enron to BPA must include notice of the prepayment made via wire transfer including the date and time of the wire transfer; the amount of the prepayment; the transmission services and quantities the prepayment covers; and the information that Enron needs to provide to its bank in order to make the wire transfer to BPA.  BPA will accept notice of prepayment by fax.  The fax number is (360) 418-8207.</w:t>
      </w:r>
    </w:p>
    <w:p>
      <w:pPr>
        <w:pStyle w:val="Normal"/>
        <w:rPr>
          <w:rFonts w:ascii="Times New Roman" w:hAnsi="Times New Roman" w:cs="Times New Roman"/>
          <w:color w:val="000000"/>
          <w:sz w:val="24"/>
        </w:rPr>
      </w:pPr>
      <w:r>
        <w:rPr>
          <w:rFonts w:cs="Times New Roman" w:ascii="Times New Roman" w:hAnsi="Times New Roman"/>
          <w:color w:val="000000"/>
          <w:sz w:val="24"/>
        </w:rPr>
      </w:r>
      <w:r>
        <w:br w:type="page"/>
      </w:r>
    </w:p>
    <w:p>
      <w:pPr>
        <w:pStyle w:val="BodyText"/>
        <w:rPr/>
      </w:pPr>
      <w:r>
        <w:rPr/>
        <w:t>The following information will be required by Enron’s bank to make a wire transfer payment to BPA:</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numPr>
          <w:ilvl w:val="0"/>
          <w:numId w:val="2"/>
        </w:numPr>
        <w:rPr>
          <w:rFonts w:ascii="Times New Roman" w:hAnsi="Times New Roman" w:cs="Times New Roman"/>
          <w:color w:val="000000"/>
          <w:sz w:val="24"/>
        </w:rPr>
      </w:pPr>
      <w:r>
        <w:rPr>
          <w:rFonts w:cs="Times New Roman" w:ascii="Times New Roman" w:hAnsi="Times New Roman"/>
          <w:color w:val="000000"/>
          <w:sz w:val="24"/>
        </w:rPr>
        <w:t>ABA Number – The ABA number for the Federal Reserve Bank in New York City is  021030004.</w:t>
      </w:r>
    </w:p>
    <w:p>
      <w:pPr>
        <w:pStyle w:val="Normal"/>
        <w:numPr>
          <w:ilvl w:val="0"/>
          <w:numId w:val="2"/>
        </w:numPr>
        <w:rPr>
          <w:rFonts w:ascii="Times New Roman" w:hAnsi="Times New Roman" w:cs="Times New Roman"/>
          <w:color w:val="000000"/>
          <w:sz w:val="24"/>
        </w:rPr>
      </w:pPr>
      <w:r>
        <w:rPr>
          <w:rFonts w:cs="Times New Roman" w:ascii="Times New Roman" w:hAnsi="Times New Roman"/>
          <w:color w:val="000000"/>
          <w:sz w:val="24"/>
        </w:rPr>
        <w:t>Receiving Bank – “TREAS NYC” designates the Federal Reserve Bank in New York City as the receiving bank.</w:t>
      </w:r>
    </w:p>
    <w:p>
      <w:pPr>
        <w:pStyle w:val="Normal"/>
        <w:numPr>
          <w:ilvl w:val="0"/>
          <w:numId w:val="2"/>
        </w:numPr>
        <w:rPr>
          <w:rFonts w:ascii="Times New Roman" w:hAnsi="Times New Roman" w:cs="Times New Roman"/>
          <w:color w:val="000000"/>
          <w:sz w:val="24"/>
        </w:rPr>
      </w:pPr>
      <w:r>
        <w:rPr>
          <w:rFonts w:cs="Times New Roman" w:ascii="Times New Roman" w:hAnsi="Times New Roman"/>
          <w:color w:val="000000"/>
          <w:sz w:val="24"/>
        </w:rPr>
        <w:t>Product Code – “CTR” needs to follow “TREAS NYC” to provide the product code (separated by a slash).</w:t>
      </w:r>
    </w:p>
    <w:p>
      <w:pPr>
        <w:pStyle w:val="Normal"/>
        <w:numPr>
          <w:ilvl w:val="0"/>
          <w:numId w:val="2"/>
        </w:numPr>
        <w:rPr>
          <w:rFonts w:ascii="Times New Roman" w:hAnsi="Times New Roman" w:cs="Times New Roman"/>
          <w:color w:val="000000"/>
          <w:sz w:val="24"/>
        </w:rPr>
      </w:pPr>
      <w:r>
        <w:rPr>
          <w:rFonts w:cs="Times New Roman" w:ascii="Times New Roman" w:hAnsi="Times New Roman"/>
          <w:color w:val="000000"/>
          <w:sz w:val="24"/>
        </w:rPr>
        <w:t>Account – Agency Location Code of 89001401 directs the payment to the BPA fund in the U.S. Treasury.</w:t>
      </w:r>
    </w:p>
    <w:p>
      <w:pPr>
        <w:pStyle w:val="Normal"/>
        <w:numPr>
          <w:ilvl w:val="0"/>
          <w:numId w:val="2"/>
        </w:numPr>
        <w:rPr>
          <w:rFonts w:ascii="Times New Roman" w:hAnsi="Times New Roman" w:cs="Times New Roman"/>
          <w:color w:val="000000"/>
          <w:sz w:val="24"/>
        </w:rPr>
      </w:pPr>
      <w:r>
        <w:rPr>
          <w:rFonts w:cs="Times New Roman" w:ascii="Times New Roman" w:hAnsi="Times New Roman"/>
          <w:color w:val="000000"/>
          <w:sz w:val="24"/>
        </w:rPr>
        <w:t>Third Party Information – After “OBI=” the customer should provide the date of the preschedule in the format “MM/DD/YY” followed by “TRANSMISSION PREPAY” in order to identify the payment when it is received.</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t>This credit support requirement is effective immediately.  If you have any questions, please call me at (360) 418-8283.</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t>Sincerely,</w:t>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cs="Arial"/>
          <w:b/>
          <w:bCs/>
          <w:color w:val="000000"/>
          <w:sz w:val="28"/>
        </w:rPr>
      </w:pPr>
      <w:r>
        <w:rPr>
          <w:rFonts w:cs="Arial"/>
          <w:b/>
          <w:bCs/>
          <w:color w:val="000000"/>
          <w:sz w:val="28"/>
        </w:rPr>
        <w:t>/s/ Allan Paschke</w:t>
      </w:r>
    </w:p>
    <w:p>
      <w:pPr>
        <w:pStyle w:val="Normal"/>
        <w:rPr>
          <w:rFonts w:ascii="Times New Roman" w:hAnsi="Times New Roman" w:cs="Times New Roman"/>
          <w:b/>
          <w:bCs/>
          <w:color w:val="000000"/>
          <w:sz w:val="24"/>
        </w:rPr>
      </w:pPr>
      <w:r>
        <w:rPr>
          <w:rFonts w:cs="Times New Roman" w:ascii="Times New Roman" w:hAnsi="Times New Roman"/>
          <w:b/>
          <w:bCs/>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t>Allan F. Paschke</w:t>
      </w:r>
    </w:p>
    <w:p>
      <w:pPr>
        <w:pStyle w:val="Normal"/>
        <w:rPr>
          <w:rFonts w:ascii="Times New Roman" w:hAnsi="Times New Roman" w:cs="Times New Roman"/>
          <w:color w:val="000000"/>
          <w:sz w:val="24"/>
        </w:rPr>
      </w:pPr>
      <w:r>
        <w:rPr>
          <w:rFonts w:cs="Times New Roman" w:ascii="Times New Roman" w:hAnsi="Times New Roman"/>
          <w:color w:val="000000"/>
          <w:sz w:val="24"/>
        </w:rPr>
        <w:t>Account Executive</w:t>
      </w:r>
    </w:p>
    <w:p>
      <w:pPr>
        <w:pStyle w:val="BODY"/>
        <w:rPr>
          <w:color w:val="000000"/>
        </w:rPr>
      </w:pPr>
      <w:r>
        <w:rPr>
          <w:color w:val="000000"/>
        </w:rPr>
        <w:t>Transmission Marketing and Sales</w:t>
      </w:r>
      <w:r>
        <w:br w:type="page"/>
      </w:r>
    </w:p>
    <w:p>
      <w:pPr>
        <w:pStyle w:val="BODY"/>
        <w:rPr>
          <w:color w:val="000000"/>
        </w:rPr>
      </w:pPr>
      <w:r>
        <w:rPr>
          <w:color w:val="000000"/>
        </w:rPr>
        <w:t>bcc:</w:t>
      </w:r>
    </w:p>
    <w:p>
      <w:pPr>
        <w:pStyle w:val="BODY"/>
        <w:rPr>
          <w:color w:val="000000"/>
        </w:rPr>
      </w:pPr>
      <w:r>
        <w:rPr>
          <w:color w:val="000000"/>
        </w:rPr>
        <w:t>M. McDaniel – TMC-Ditt2</w:t>
      </w:r>
    </w:p>
    <w:p>
      <w:pPr>
        <w:pStyle w:val="BODY"/>
        <w:rPr>
          <w:color w:val="000000"/>
        </w:rPr>
      </w:pPr>
      <w:r>
        <w:rPr>
          <w:color w:val="000000"/>
        </w:rPr>
        <w:t>Official File – TM (TM-11)</w:t>
      </w:r>
    </w:p>
    <w:p>
      <w:pPr>
        <w:pStyle w:val="BODY"/>
        <w:rPr>
          <w:color w:val="000000"/>
        </w:rPr>
      </w:pPr>
      <w:r>
        <w:rPr>
          <w:color w:val="000000"/>
        </w:rPr>
      </w:r>
    </w:p>
    <w:p>
      <w:pPr>
        <w:pStyle w:val="BODY"/>
        <w:rPr>
          <w:color w:val="000000"/>
          <w:sz w:val="16"/>
        </w:rPr>
      </w:pPr>
      <w:r>
        <w:rPr>
          <w:color w:val="000000"/>
          <w:sz w:val="16"/>
        </w:rPr>
        <w:t>APaschke:sle:8283:11/29/01</w:t>
        <w:tab/>
        <w:t>(w:\tm_wg\acctexec\paschke\customer\enron\prepayltr1.doc)</w:t>
      </w:r>
    </w:p>
    <w:sectPr>
      <w:type w:val="continuous"/>
      <w:pgSz w:w="12240" w:h="15840"/>
      <w:pgMar w:left="1440" w:right="1440" w:gutter="0" w:header="1440" w:top="1496" w:footer="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rFonts w:ascii="Times New Roman" w:hAnsi="Times New Roman" w:cs="Times New Roman"/>
        <w:sz w:val="24"/>
      </w:rPr>
    </w:pPr>
    <w:r>
      <w:rPr>
        <w:rFonts w:cs="Times New Roman" w:ascii="Times New Roman" w:hAnsi="Times New Roman"/>
        <w:sz w:val="24"/>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Square wrapText="bothSides"/>
              <wp:docPr id="4"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Fonts w:ascii="Times New Roman" w:hAnsi="Times New Roman" w:cs="Times New Roman"/>
                              <w:sz w:val="24"/>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3</w:t>
                          </w:r>
                          <w:r>
                            <w:rPr>
                              <w:rStyle w:val="PageNumber"/>
                              <w:sz w:val="24"/>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Header"/>
                      <w:rPr>
                        <w:rStyle w:val="PageNumber"/>
                        <w:rFonts w:ascii="Times New Roman" w:hAnsi="Times New Roman" w:cs="Times New Roman"/>
                        <w:sz w:val="24"/>
                      </w:rPr>
                    </w:pP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3</w:t>
                    </w:r>
                    <w:r>
                      <w:rPr>
                        <w:rStyle w:val="PageNumber"/>
                        <w:sz w:val="24"/>
                        <w:rFonts w:cs="Times New Roman" w:ascii="Times New Roman" w:hAnsi="Times New Roman"/>
                      </w:rPr>
                      <w:fldChar w:fldCharType="end"/>
                    </w:r>
                  </w:p>
                </w:txbxContent>
              </v:textbox>
              <w10:wrap type="square"/>
            </v:rect>
          </w:pict>
        </mc:Fallback>
      </mc:AlternateContent>
    </w:r>
  </w:p>
  <w:p>
    <w:pPr>
      <w:pStyle w:val="Header"/>
      <w:ind w:end="360"/>
      <w:rPr>
        <w:rFonts w:ascii="Times New Roman" w:hAnsi="Times New Roman" w:cs="Times New Roman"/>
        <w:sz w:val="24"/>
      </w:rPr>
    </w:pPr>
    <w:r>
      <w:rPr>
        <w:rFonts w:cs="Times New Roman" w:ascii="Times New Roman" w:hAnsi="Times New Roman"/>
        <w:sz w:val="24"/>
      </w:rPr>
    </w:r>
  </w:p>
  <w:p>
    <w:pPr>
      <w:pStyle w:val="Header"/>
      <w:ind w:end="360"/>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000000"/>
      <w:sz w:val="16"/>
      <w:szCs w:val="20"/>
      <w:lang w:val="en-US" w:bidi="ar-SA" w:eastAsia="zh-CN"/>
    </w:rPr>
  </w:style>
  <w:style w:type="paragraph" w:styleId="Heading2">
    <w:name w:val="heading 2"/>
    <w:basedOn w:val="Normal"/>
    <w:next w:val="Normal"/>
    <w:qFormat/>
    <w:pPr>
      <w:keepNext w:val="true"/>
      <w:numPr>
        <w:ilvl w:val="1"/>
        <w:numId w:val="1"/>
      </w:numPr>
      <w:jc w:val="center"/>
      <w:outlineLvl w:val="1"/>
    </w:pPr>
    <w:rPr>
      <w:b/>
      <w:color w:val="auto"/>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rPr>
      <w:rFonts w:ascii="Times New Roman" w:hAnsi="Times New Roman" w:cs="Times New Roman"/>
      <w:color w:val="0000FF"/>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vancbx.DOT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2001-11-29T22:00:00Z</dcterms:created>
  <dc:creator>Sandi L Edgmond</dc:creator>
  <dc:description/>
  <dc:language>en-CA</dc:language>
  <cp:lastModifiedBy>Sandi L Edgmond</cp:lastModifiedBy>
  <cp:lastPrinted>2001-11-29T16:15:00Z</cp:lastPrinted>
  <dcterms:modified xsi:type="dcterms:W3CDTF">2001-11-29T22:00:00Z</dcterms:modified>
  <cp:revision>2</cp:revision>
  <dc:subject/>
  <dc:title> </dc:title>
</cp:coreProperties>
</file>