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object w:dxaOrig="9870" w:dyaOrig="493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4.8pt;margin-top:-4.8pt;width:144.1pt;height:72.05pt;mso-wrap-distance-left:9.05pt;mso-wrap-distance-right:9.05pt;mso-position-horizontal-relative:text;mso-position-vertical-relative:text" filled="f" o:ole="">
            <v:imagedata r:id="rId3" o:title=""/>
            <w10:wrap type="topAndBottom"/>
          </v:shape>
          <o:OLEObject Type="Embed" ProgID="" ShapeID="ole_rId2" DrawAspect="Content" ObjectID="_843639489" r:id="rId2"/>
        </w:object>
      </w:r>
    </w:p>
    <w:p>
      <w:pPr>
        <w:pStyle w:val="Normal"/>
        <w:widowControl/>
        <w:tabs>
          <w:tab w:val="clear" w:pos="720"/>
          <w:tab w:val="center" w:pos="4320" w:leader="none"/>
        </w:tabs>
        <w:jc w:val="both"/>
        <w:rPr/>
      </w:pPr>
      <w:r>
        <w:fldChar w:fldCharType="begin"/>
      </w:r>
      <w:r>
        <w:rPr/>
        <w:instrText xml:space="preserve">ADVANCE \y108</w:instrText>
      </w:r>
      <w:r>
        <w:rPr/>
      </w:r>
      <w:r>
        <w:rPr/>
        <w:fldChar w:fldCharType="separate"/>
      </w:r>
      <w:r>
        <w:rPr/>
      </w:r>
      <w:r/>
      <w:r>
        <w:rPr/>
        <w:fldChar w:fldCharType="end"/>
      </w:r>
      <w:r>
        <w:rPr/>
      </w:r>
    </w:p>
    <w:p>
      <w:pPr>
        <w:pStyle w:val="Normal"/>
        <w:widowControl/>
        <w:tabs>
          <w:tab w:val="clear" w:pos="720"/>
          <w:tab w:val="center" w:pos="4320" w:leader="none"/>
        </w:tabs>
        <w:jc w:val="both"/>
        <w:rPr/>
      </w:pPr>
      <w:r>
        <w:rPr/>
      </w:r>
    </w:p>
    <w:p>
      <w:pPr>
        <w:pStyle w:val="Normal"/>
        <w:widowControl/>
        <w:tabs>
          <w:tab w:val="clear" w:pos="720"/>
          <w:tab w:val="center" w:pos="4320" w:leader="none"/>
        </w:tabs>
        <w:jc w:val="both"/>
        <w:rPr/>
      </w:pPr>
      <w:r>
        <w:rPr/>
        <w:tab/>
        <w:t>M E M O R A N D U M</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1440" w:start="1440" w:end="0"/>
        <w:jc w:val="both"/>
        <w:rPr/>
      </w:pPr>
      <w:r>
        <w:rPr/>
        <w:t>FROM:</w:t>
        <w:tab/>
        <w:t>Bracewell &amp; Patterson, L.L.P.</w:t>
      </w:r>
    </w:p>
    <w:p>
      <w:pPr>
        <w:pStyle w:val="Normal"/>
        <w:widowControl/>
        <w:jc w:val="both"/>
        <w:rPr/>
      </w:pPr>
      <w:r>
        <w:rPr/>
      </w:r>
    </w:p>
    <w:p>
      <w:pPr>
        <w:pStyle w:val="Normal"/>
        <w:widowControl/>
        <w:tabs>
          <w:tab w:val="clear" w:pos="720"/>
          <w:tab w:val="left" w:pos="-1440" w:leader="none"/>
        </w:tabs>
        <w:ind w:hanging="3600" w:start="3600" w:end="0"/>
        <w:jc w:val="both"/>
        <w:rPr/>
      </w:pPr>
      <w:r>
        <w:rPr/>
        <w:t>DATE:</w:t>
        <w:tab/>
        <w:tab/>
      </w:r>
      <w:r>
        <w:rPr/>
        <w:fldChar w:fldCharType="begin"/>
      </w:r>
      <w:r>
        <w:rPr/>
        <w:instrText xml:space="preserve"> DATE \@"MMMM\ d', 'yyyy" </w:instrText>
      </w:r>
      <w:r>
        <w:rPr/>
        <w:fldChar w:fldCharType="separate"/>
      </w:r>
      <w:r>
        <w:rPr/>
        <w:t>September 28, 2025</w:t>
      </w:r>
      <w:r>
        <w:rPr/>
        <w:fldChar w:fldCharType="end"/>
      </w:r>
      <w:r>
        <w:rPr/>
        <w:tab/>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t>Prehearing Conference before Judge Birchman in California Refund proceeding</w:t>
      </w:r>
    </w:p>
    <w:p>
      <w:pPr>
        <w:pStyle w:val="Normal"/>
        <w:widowControl/>
        <w:ind w:start="1440" w:end="0"/>
        <w:jc w:val="both"/>
        <w:rPr/>
      </w:pPr>
      <w:r>
        <w:rPr>
          <w:i/>
        </w:rPr>
        <w:t>San Diego Gas &amp; Electric Co., v. Sellers of Energy and Ancillary Services</w:t>
      </w:r>
      <w:r>
        <w:rPr/>
        <w:t>, EL00-95-045 and EL00-98-042</w:t>
      </w:r>
    </w:p>
    <w:p>
      <w:pPr>
        <w:pStyle w:val="Normal"/>
        <w:widowControl/>
        <w:jc w:val="both"/>
        <w:rPr/>
      </w:pPr>
      <w:r>
        <w:rPr/>
      </w:r>
    </w:p>
    <w:p>
      <w:pPr>
        <w:pStyle w:val="Normal"/>
        <w:widowControl/>
        <w:jc w:val="both"/>
        <w:rPr/>
      </w:pPr>
      <w:r>
        <w:rPr/>
        <w:t>Administrative Law Judge Bruce L. Birchman held a prehearing conference yesterday in the above-referenced matter that resulted in the following procedural schedule that will govern this proceeding.  In addition to noting that the hearing will be held on October 10-16, 2001, we also highlight the fact that the first opportunity that participants will have to file testimony on the offset issue is September 28, 2001.</w:t>
      </w:r>
    </w:p>
    <w:p>
      <w:pPr>
        <w:pStyle w:val="Normal"/>
        <w:widowControl/>
        <w:jc w:val="both"/>
        <w:rPr/>
      </w:pPr>
      <w:r>
        <w:rPr/>
      </w:r>
    </w:p>
    <w:p>
      <w:pPr>
        <w:pStyle w:val="Normal"/>
        <w:widowControl/>
        <w:tabs>
          <w:tab w:val="clear" w:pos="720"/>
          <w:tab w:val="left" w:pos="-1440" w:leader="none"/>
        </w:tabs>
        <w:ind w:hanging="2160" w:start="2160" w:end="0"/>
        <w:jc w:val="both"/>
        <w:rPr/>
      </w:pPr>
      <w:r>
        <w:rPr/>
        <w:t>August 17, 2001</w:t>
        <w:tab/>
        <w:t xml:space="preserve">California Independent System Operator Corp. ("CAISO") will provide the additional data on (1) the mitigated price in each hour of the refund period ("Item 1"), and (2) the amount of refunds owed by each supplier ("Item 2") according to the methodology established in the Federal Energy Regulatory Commission's ("FERC's") July 25, 2001, order in this proceeding ("July 25 Order"). </w:t>
      </w:r>
    </w:p>
    <w:p>
      <w:pPr>
        <w:pStyle w:val="Normal"/>
        <w:widowControl/>
        <w:jc w:val="both"/>
        <w:rPr/>
      </w:pPr>
      <w:r>
        <w:rPr/>
      </w:r>
    </w:p>
    <w:p>
      <w:pPr>
        <w:pStyle w:val="Normal"/>
        <w:widowControl/>
        <w:ind w:start="2160" w:end="0"/>
        <w:jc w:val="both"/>
        <w:rPr/>
      </w:pPr>
      <w:r>
        <w:rPr/>
        <w:t>Status report to Judge Birchman on how Participants will proceed with grouping of parties.  Weekly status reports thereafter on groupings.  All grouping issues to be resolved by September 5, 2001.</w:t>
      </w:r>
    </w:p>
    <w:p>
      <w:pPr>
        <w:pStyle w:val="Normal"/>
        <w:widowControl/>
        <w:jc w:val="both"/>
        <w:rPr/>
      </w:pPr>
      <w:r>
        <w:rPr/>
      </w:r>
    </w:p>
    <w:p>
      <w:pPr>
        <w:pStyle w:val="Normal"/>
        <w:widowControl/>
        <w:tabs>
          <w:tab w:val="clear" w:pos="720"/>
          <w:tab w:val="left" w:pos="-1440" w:leader="none"/>
        </w:tabs>
        <w:ind w:hanging="2160" w:start="2160" w:end="0"/>
        <w:jc w:val="both"/>
        <w:rPr/>
      </w:pPr>
      <w:r>
        <w:rPr/>
        <w:t>September 7, 2001</w:t>
        <w:tab/>
        <w:t>CAISO will provide its final data on the amount currently owed to each supplier (with separate quantities due from each entity) by the CAISO, the investor owned utilities, and the State of California ("Item 3").</w:t>
      </w:r>
    </w:p>
    <w:p>
      <w:pPr>
        <w:pStyle w:val="Normal"/>
        <w:widowControl/>
        <w:jc w:val="both"/>
        <w:rPr/>
      </w:pPr>
      <w:r>
        <w:rPr/>
      </w:r>
    </w:p>
    <w:p>
      <w:pPr>
        <w:pStyle w:val="Normal"/>
        <w:widowControl/>
        <w:tabs>
          <w:tab w:val="clear" w:pos="720"/>
          <w:tab w:val="left" w:pos="-1440" w:leader="none"/>
        </w:tabs>
        <w:ind w:hanging="2160" w:start="2160" w:end="0"/>
        <w:jc w:val="both"/>
        <w:rPr/>
      </w:pPr>
      <w:r>
        <w:rPr/>
        <w:t>September 14, 2001</w:t>
        <w:tab/>
        <w:t>All Participants submit testimony on Item 1 and Item 2.</w:t>
      </w:r>
    </w:p>
    <w:p>
      <w:pPr>
        <w:pStyle w:val="Normal"/>
        <w:widowControl/>
        <w:jc w:val="both"/>
        <w:rPr/>
      </w:pPr>
      <w:r>
        <w:rPr/>
      </w:r>
    </w:p>
    <w:p>
      <w:pPr>
        <w:pStyle w:val="Normal"/>
        <w:widowControl/>
        <w:tabs>
          <w:tab w:val="clear" w:pos="720"/>
          <w:tab w:val="left" w:pos="-1440" w:leader="none"/>
        </w:tabs>
        <w:ind w:hanging="2160" w:start="2160" w:end="0"/>
        <w:jc w:val="both"/>
        <w:rPr/>
      </w:pPr>
      <w:r>
        <w:rPr/>
        <w:t>September 21, 2001</w:t>
        <w:tab/>
        <w:t>The California Power Exchange ("PX") will provide data on its rerun of its settlement/billing processes and all penalties, which information will form the basis of any offsets (</w:t>
      </w:r>
      <w:r>
        <w:rPr>
          <w:i/>
        </w:rPr>
        <w:t xml:space="preserve">i.e. </w:t>
      </w:r>
      <w:r>
        <w:rPr/>
        <w:t>the amounts to be refunded against the payments past due).</w:t>
      </w:r>
    </w:p>
    <w:p>
      <w:pPr>
        <w:pStyle w:val="Normal"/>
        <w:widowControl/>
        <w:jc w:val="both"/>
        <w:rPr/>
      </w:pPr>
      <w:r>
        <w:rPr/>
      </w:r>
    </w:p>
    <w:p>
      <w:pPr>
        <w:pStyle w:val="Normal"/>
        <w:widowControl/>
        <w:tabs>
          <w:tab w:val="clear" w:pos="720"/>
          <w:tab w:val="left" w:pos="-1440" w:leader="none"/>
        </w:tabs>
        <w:ind w:hanging="2160" w:start="2160" w:end="0"/>
        <w:jc w:val="both"/>
        <w:rPr/>
      </w:pPr>
      <w:r>
        <w:rPr/>
        <w:t>September 28, 2001</w:t>
        <w:tab/>
        <w:t>All Participants file testimony on Item 3.</w:t>
      </w:r>
    </w:p>
    <w:p>
      <w:pPr>
        <w:sectPr>
          <w:type w:val="nextPage"/>
          <w:pgSz w:w="12240" w:h="15840"/>
          <w:pgMar w:left="1872" w:right="1728" w:gutter="0" w:header="0" w:top="960" w:footer="0" w:bottom="1728"/>
          <w:pgNumType w:fmt="decimal"/>
          <w:formProt w:val="false"/>
          <w:textDirection w:val="lrTb"/>
          <w:docGrid w:type="default" w:linePitch="360" w:charSpace="0"/>
        </w:sectPr>
      </w:pPr>
    </w:p>
    <w:p>
      <w:pPr>
        <w:pStyle w:val="Normal"/>
        <w:widowControl/>
        <w:tabs>
          <w:tab w:val="clear" w:pos="720"/>
          <w:tab w:val="left" w:pos="-1440" w:leader="none"/>
        </w:tabs>
        <w:ind w:hanging="2160" w:start="2160" w:end="0"/>
        <w:jc w:val="both"/>
        <w:rPr/>
      </w:pPr>
      <w:r>
        <w:rPr/>
        <w:t>October 5, 2001</w:t>
        <w:tab/>
        <w:t>All Participants file rebuttal or answering testimony on Item 1, Item 2, and Item 3.</w:t>
      </w:r>
    </w:p>
    <w:p>
      <w:pPr>
        <w:pStyle w:val="Normal"/>
        <w:widowControl/>
        <w:jc w:val="both"/>
        <w:rPr/>
      </w:pPr>
      <w:r>
        <w:rPr/>
      </w:r>
    </w:p>
    <w:p>
      <w:pPr>
        <w:pStyle w:val="Normal"/>
        <w:widowControl/>
        <w:tabs>
          <w:tab w:val="clear" w:pos="720"/>
          <w:tab w:val="left" w:pos="-1440" w:leader="none"/>
        </w:tabs>
        <w:ind w:hanging="2160" w:start="2160" w:end="0"/>
        <w:jc w:val="both"/>
        <w:rPr/>
      </w:pPr>
      <w:r>
        <w:rPr/>
        <w:t>October 9, 2001</w:t>
        <w:tab/>
        <w:t>Joint Narrative Stipulation of Issues, Master Exhibit List, Proposed Trial Stipulations, proposed order of appearance of witnesses, and the proposed order of cross-examination to the Judge by 11:00 a.m.</w:t>
      </w:r>
    </w:p>
    <w:p>
      <w:pPr>
        <w:pStyle w:val="Normal"/>
        <w:widowControl/>
        <w:jc w:val="both"/>
        <w:rPr/>
      </w:pPr>
      <w:r>
        <w:rPr/>
      </w:r>
    </w:p>
    <w:p>
      <w:pPr>
        <w:pStyle w:val="Normal"/>
        <w:widowControl/>
        <w:ind w:start="2160" w:end="0"/>
        <w:jc w:val="both"/>
        <w:rPr/>
      </w:pPr>
      <w:r>
        <w:rPr/>
        <w:t>10:00 a.m. - Oral argument to Show Cause on why protective order should not be lifted and oral argument on motions to strike.</w:t>
      </w:r>
    </w:p>
    <w:p>
      <w:pPr>
        <w:pStyle w:val="Normal"/>
        <w:widowControl/>
        <w:jc w:val="both"/>
        <w:rPr/>
      </w:pPr>
      <w:r>
        <w:rPr/>
      </w:r>
    </w:p>
    <w:p>
      <w:pPr>
        <w:pStyle w:val="Normal"/>
        <w:widowControl/>
        <w:tabs>
          <w:tab w:val="clear" w:pos="720"/>
          <w:tab w:val="left" w:pos="-1440" w:leader="none"/>
        </w:tabs>
        <w:ind w:hanging="2160" w:start="2160" w:end="0"/>
        <w:jc w:val="both"/>
        <w:rPr/>
      </w:pPr>
      <w:r>
        <w:rPr/>
        <w:t>October 10-16, 2001</w:t>
        <w:tab/>
      </w:r>
      <w:r>
        <w:rPr>
          <w:b/>
        </w:rPr>
        <w:t>HEARING</w:t>
      </w:r>
    </w:p>
    <w:p>
      <w:pPr>
        <w:pStyle w:val="Normal"/>
        <w:widowControl/>
        <w:jc w:val="both"/>
        <w:rPr/>
      </w:pPr>
      <w:r>
        <w:rPr/>
      </w:r>
    </w:p>
    <w:p>
      <w:pPr>
        <w:pStyle w:val="Normal"/>
        <w:widowControl/>
        <w:tabs>
          <w:tab w:val="clear" w:pos="720"/>
          <w:tab w:val="left" w:pos="-1440" w:leader="none"/>
        </w:tabs>
        <w:ind w:hanging="2160" w:start="2160" w:end="0"/>
        <w:jc w:val="both"/>
        <w:rPr/>
      </w:pPr>
      <w:r>
        <w:rPr/>
        <w:t>October 19, 2001</w:t>
        <w:tab/>
        <w:t>Initial Proposed Findings of Fact</w:t>
      </w:r>
    </w:p>
    <w:p>
      <w:pPr>
        <w:pStyle w:val="Normal"/>
        <w:widowControl/>
        <w:jc w:val="both"/>
        <w:rPr/>
      </w:pPr>
      <w:r>
        <w:rPr/>
      </w:r>
    </w:p>
    <w:p>
      <w:pPr>
        <w:pStyle w:val="Normal"/>
        <w:widowControl/>
        <w:tabs>
          <w:tab w:val="clear" w:pos="720"/>
          <w:tab w:val="left" w:pos="-1440" w:leader="none"/>
        </w:tabs>
        <w:ind w:hanging="2160" w:start="2160" w:end="0"/>
        <w:jc w:val="both"/>
        <w:rPr/>
      </w:pPr>
      <w:r>
        <w:rPr/>
        <w:t>October 22, 2001</w:t>
        <w:tab/>
        <w:t>Responses to Initial Proposed Findings of Fact</w:t>
      </w:r>
    </w:p>
    <w:p>
      <w:pPr>
        <w:pStyle w:val="Normal"/>
        <w:widowControl/>
        <w:jc w:val="both"/>
        <w:rPr/>
      </w:pPr>
      <w:r>
        <w:rPr/>
      </w:r>
    </w:p>
    <w:p>
      <w:pPr>
        <w:pStyle w:val="Normal"/>
        <w:widowControl/>
        <w:tabs>
          <w:tab w:val="clear" w:pos="720"/>
          <w:tab w:val="left" w:pos="-1440" w:leader="none"/>
        </w:tabs>
        <w:ind w:hanging="2160" w:start="2160" w:end="0"/>
        <w:jc w:val="both"/>
        <w:rPr/>
      </w:pPr>
      <w:r>
        <w:rPr/>
        <w:t>November 5, 2001</w:t>
        <w:tab/>
        <w:t>Judge certifies Findings of Fact</w:t>
      </w:r>
    </w:p>
    <w:p>
      <w:pPr>
        <w:pStyle w:val="Normal"/>
        <w:widowControl/>
        <w:jc w:val="both"/>
        <w:rPr/>
      </w:pPr>
      <w:r>
        <w:rPr/>
      </w:r>
    </w:p>
    <w:p>
      <w:pPr>
        <w:pStyle w:val="Normal"/>
        <w:widowControl/>
        <w:jc w:val="both"/>
        <w:rPr/>
      </w:pPr>
      <w:r>
        <w:rPr/>
      </w:r>
    </w:p>
    <w:p>
      <w:pPr>
        <w:pStyle w:val="Normal"/>
        <w:widowControl/>
        <w:jc w:val="both"/>
        <w:rPr/>
      </w:pPr>
      <w:r>
        <w:rPr/>
        <w:t>Discovery will be on a rolling basis with responses and objections due four (4) business days after receipt of requests up through September 14, 2001, and three (3) business days thereafter.</w:t>
      </w:r>
    </w:p>
    <w:p>
      <w:pPr>
        <w:pStyle w:val="Normal"/>
        <w:widowControl/>
        <w:jc w:val="both"/>
        <w:rPr/>
      </w:pPr>
      <w:r>
        <w:rPr/>
      </w:r>
    </w:p>
    <w:p>
      <w:pPr>
        <w:pStyle w:val="Normal"/>
        <w:widowControl/>
        <w:jc w:val="both"/>
        <w:rPr/>
      </w:pPr>
      <w:r>
        <w:rPr/>
        <w:t xml:space="preserve">A restricted service list will be established with two named representatives for each participant.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3600" w:end="0"/>
        <w:jc w:val="both"/>
        <w:rPr/>
      </w:pPr>
      <w:r>
        <w:rPr/>
        <w:t>BRACEWELL &amp; PATTERSON, L.L.P.</w:t>
        <w:tab/>
        <w:tab/>
        <w:tab/>
        <w:tab/>
      </w:r>
    </w:p>
    <w:p>
      <w:pPr>
        <w:pStyle w:val="Normal"/>
        <w:widowControl/>
        <w:jc w:val="both"/>
        <w:rPr/>
      </w:pPr>
      <w:r>
        <w:rPr/>
      </w:r>
    </w:p>
    <w:p>
      <w:pPr>
        <w:pStyle w:val="Normal"/>
        <w:widowControl/>
        <w:jc w:val="both"/>
        <w:rPr>
          <w:sz w:val="20"/>
        </w:rPr>
      </w:pPr>
      <w:r>
        <w:rPr>
          <w:sz w:val="20"/>
        </w:rPr>
        <w:t>#146663</w:t>
      </w:r>
    </w:p>
    <w:sectPr>
      <w:type w:val="continuous"/>
      <w:pgSz w:w="12240" w:h="15840"/>
      <w:pgMar w:left="1872" w:right="1728" w:gutter="0" w:header="0" w:top="960" w:footer="0" w:bottom="172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2001-08-14T13:01:00Z</dcterms:created>
  <dc:creator>Bracewell &amp; Patterson, L.L.P.</dc:creator>
  <dc:description/>
  <dc:language>en-CA</dc:language>
  <cp:lastModifiedBy>Bracewell &amp; Patterson, L.L.P.</cp:lastModifiedBy>
  <dcterms:modified xsi:type="dcterms:W3CDTF">2001-08-14T13:01:00Z</dcterms:modified>
  <cp:revision>2</cp:revision>
  <dc:subject/>
  <dc:title/>
</cp:coreProperties>
</file>