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 xml:space="preserve">THIS PRECEDENT AGREEMENT FOR FIRM TRANSPORTATION SERVICE (“Agreement”), is made and entered into this __________ day of _________, 200__, by and between KERN RIVER GAS TRANSMISSION COMPANY, a Texas general partnership (“Kern River”) and </w:t>
      </w:r>
      <w:r>
        <w:rPr>
          <w:sz w:val="24"/>
          <w:u w:val="single"/>
        </w:rPr>
        <w:t xml:space="preserve">                                                       </w:t>
      </w:r>
      <w:r>
        <w:rPr>
          <w:sz w:val="24"/>
        </w:rPr>
        <w:t>_____________, a ___________________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rPr>
        <w:t>, subject to the jurisdiction of the Federal Energy Regulatory Commission (“FERC”); and</w:t>
      </w:r>
    </w:p>
    <w:p>
      <w:pPr>
        <w:pStyle w:val="Normal"/>
        <w:jc w:val="both"/>
        <w:rPr>
          <w:sz w:val="24"/>
          <w:lang w:val="en-CA"/>
        </w:rPr>
      </w:pPr>
      <w:r>
        <w:rPr>
          <w:sz w:val="24"/>
          <w:lang w:val="en-CA"/>
        </w:rPr>
      </w:r>
    </w:p>
    <w:p>
      <w:pPr>
        <w:pStyle w:val="Normal"/>
        <w:jc w:val="both"/>
        <w:rPr>
          <w:sz w:val="24"/>
          <w:lang w:val="en-CA"/>
        </w:rPr>
      </w:pPr>
      <w:r>
        <w:rPr>
          <w:sz w:val="24"/>
          <w:lang w:val="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rPr>
      </w:pPr>
      <w:r>
        <w:rPr>
          <w:sz w:val="24"/>
          <w:lang w:val="en-CA"/>
        </w:rPr>
      </w:r>
    </w:p>
    <w:p>
      <w:pPr>
        <w:pStyle w:val="Normal"/>
        <w:jc w:val="both"/>
        <w:rPr>
          <w:sz w:val="24"/>
          <w:lang w:val="en-CA"/>
        </w:rPr>
      </w:pPr>
      <w:r>
        <w:rPr>
          <w:sz w:val="24"/>
          <w:lang w:val="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rPr>
      </w:pPr>
      <w:r>
        <w:rPr>
          <w:sz w:val="24"/>
          <w:lang w:val="en-CA"/>
        </w:rPr>
      </w:r>
    </w:p>
    <w:p>
      <w:pPr>
        <w:pStyle w:val="BodyText2"/>
        <w:rPr/>
      </w:pPr>
      <w:r>
        <w:rPr>
          <w:lang w:val="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rPr>
      </w:pPr>
      <w:r>
        <w:rPr>
          <w:sz w:val="24"/>
        </w:rPr>
      </w:r>
    </w:p>
    <w:p>
      <w:pPr>
        <w:pStyle w:val="Normal"/>
        <w:rPr/>
      </w:pPr>
      <w:r>
        <w:rPr>
          <w:sz w:val="24"/>
        </w:rPr>
        <w:t>1.3</w:t>
        <w:tab/>
      </w:r>
      <w:r>
        <w:rPr>
          <w:sz w:val="24"/>
          <w:lang w:eastAsia="en-US"/>
        </w:rPr>
        <w:t>Shipper shall have the right to terminate this Agreement by February 15, 2001, in the event Shipper has not received by that time board approval for the requested transportation service; provided, however, to exercise and perfect such right of termination shall require Shipper to provide a written notice of termination and a termination fee of One Hundred Thousand Dollars ($100,000) to Kern River by 5:00 p.m. (MST) on February 28, 2001.  Kern River shall apply the termination fee to its expansion costs.</w:t>
      </w:r>
    </w:p>
    <w:p>
      <w:pPr>
        <w:pStyle w:val="Normal"/>
        <w:rPr>
          <w:sz w:val="24"/>
          <w:lang w:eastAsia="en-US"/>
        </w:rPr>
      </w:pPr>
      <w:r>
        <w:rPr>
          <w:sz w:val="24"/>
          <w:lang w:eastAsia="en-US"/>
        </w:rPr>
      </w:r>
    </w:p>
    <w:p>
      <w:pPr>
        <w:pStyle w:val="Normal"/>
        <w:tabs>
          <w:tab w:val="clear" w:pos="720"/>
          <w:tab w:val="left" w:pos="0" w:leader="none"/>
        </w:tabs>
        <w:jc w:val="both"/>
        <w:rPr>
          <w:sz w:val="24"/>
        </w:rPr>
      </w:pPr>
      <w:r>
        <w:rPr>
          <w:sz w:val="24"/>
        </w:rPr>
        <w:t>1.4</w:t>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1.5</w:t>
        <w:tab/>
        <w:t xml:space="preserve">Kern River will provide written notification to Shipper no later than February 28, 2001, as to whether, pursuant to Section 1.4 above, its rate analysis supports rolled-in rate treatment for any required expansion facilities and associated fuel usage. If Kern River’s rate analysis supports rolled-in rate treatment, then this Agreement shall be binding.   If such Kern River rate analysis does not support rolled-in rate treatment for any required expansion facilities and associated fuel usage, Kern River will provide alternative rate design options for Shipper to consider.  If Kern River and Shipper are unable to mutually agree upon an alternative rate design option, then either party may provide written notification terminating this Agreement within 15 days of receipt of such notification.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1.5</w:t>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sz w:val="24"/>
        </w:rPr>
      </w:pPr>
      <w:r>
        <w:rPr>
          <w:sz w:val="24"/>
        </w:rPr>
        <w:t>1.6</w:t>
        <w:tab/>
        <w:t>The following termination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Kern River has not received and accepted a final certificate order from FERC by December 31, 2002, authorizing construction of expansion facilities required to provide service under the TSA, Kern River has the option to terminate the TSA upon 10 days written notice to Shipper.</w:t>
      </w:r>
    </w:p>
    <w:p>
      <w:pPr>
        <w:pStyle w:val="Normal"/>
        <w:jc w:val="both"/>
        <w:rPr>
          <w:sz w:val="24"/>
        </w:rPr>
      </w:pPr>
      <w:r>
        <w:rPr>
          <w:sz w:val="24"/>
        </w:rPr>
      </w:r>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sz w:val="24"/>
        </w:rPr>
      </w:pPr>
      <w:r>
        <w:rPr>
          <w:sz w:val="24"/>
        </w:rPr>
        <w:t>(c)</w:t>
        <w:tab/>
        <w:t>If Shipper does not provide notice to Kern River of its termination of the TSA  within the 10 day period provided under 1.6(b), the termination option will be deemed waived.</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or Shipper pursuant to Section 1.4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Normal"/>
        <w:rPr>
          <w:sz w:val="24"/>
        </w:rPr>
      </w:pPr>
      <w:r>
        <w:rPr>
          <w:sz w:val="24"/>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rPr/>
      </w:pPr>
      <w:r>
        <w:rPr/>
      </w:r>
    </w:p>
    <w:p>
      <w:pPr>
        <w:pStyle w:val="Normal"/>
        <w:jc w:val="center"/>
        <w:rPr>
          <w:b/>
          <w:sz w:val="24"/>
        </w:rPr>
      </w:pPr>
      <w:r>
        <w:rPr>
          <w:b/>
          <w:sz w:val="24"/>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both"/>
        <w:rPr>
          <w:sz w:val="24"/>
        </w:rPr>
      </w:pPr>
      <w:r>
        <w:rPr>
          <w:sz w:val="24"/>
        </w:rPr>
      </w:r>
      <w:r>
        <w:br w:type="page"/>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Normal"/>
        <w:rPr>
          <w:sz w:val="24"/>
        </w:rPr>
      </w:pPr>
      <w:r>
        <w:rPr>
          <w:sz w:val="24"/>
        </w:rPr>
      </w:r>
    </w:p>
    <w:p>
      <w:pPr>
        <w:pStyle w:val="Normal"/>
        <w:rPr>
          <w:sz w:val="24"/>
        </w:rPr>
      </w:pPr>
      <w:r>
        <w:rPr>
          <w:sz w:val="24"/>
        </w:rPr>
        <w:t>Kern River Gas Transmission Company</w:t>
        <w:tab/>
        <w:tab/>
        <w:t>Shipper:</w:t>
      </w:r>
    </w:p>
    <w:p>
      <w:pPr>
        <w:pStyle w:val="Normal"/>
        <w:rPr>
          <w:sz w:val="24"/>
        </w:rPr>
      </w:pPr>
      <w:r>
        <w:rPr>
          <w:sz w:val="24"/>
        </w:rPr>
        <w:t>295 Chipeta Way</w:t>
      </w:r>
    </w:p>
    <w:p>
      <w:pPr>
        <w:pStyle w:val="Normal"/>
        <w:rPr>
          <w:sz w:val="24"/>
        </w:rPr>
      </w:pPr>
      <w:r>
        <w:rPr>
          <w:sz w:val="24"/>
        </w:rPr>
        <w:t>Salt Lake City, UT 84108</w:t>
      </w:r>
    </w:p>
    <w:p>
      <w:pPr>
        <w:pStyle w:val="Normal"/>
        <w:rPr>
          <w:sz w:val="24"/>
        </w:rPr>
      </w:pPr>
      <w:r>
        <w:rPr>
          <w:sz w:val="24"/>
        </w:rPr>
        <w:t>Fax No.:  (801) 584-7076</w:t>
      </w:r>
    </w:p>
    <w:p>
      <w:pPr>
        <w:pStyle w:val="Normal"/>
        <w:rPr>
          <w:sz w:val="24"/>
        </w:rPr>
      </w:pPr>
      <w:r>
        <w:rPr>
          <w:sz w:val="24"/>
        </w:rPr>
        <w:t>Attn:   Kirk Morgan</w:t>
      </w:r>
    </w:p>
    <w:p>
      <w:pPr>
        <w:pStyle w:val="Heading1"/>
        <w:ind w:hanging="0" w:start="0"/>
        <w:rPr>
          <w:u w:val="single"/>
        </w:rPr>
      </w:pPr>
      <w:r>
        <w:rPr/>
        <w:t>Director, Business Development</w:t>
      </w:r>
    </w:p>
    <w:p>
      <w:pPr>
        <w:pStyle w:val="Normal"/>
        <w:rPr>
          <w:sz w:val="24"/>
          <w:u w:val="single"/>
        </w:rPr>
      </w:pPr>
      <w:r>
        <w:rPr>
          <w:sz w:val="24"/>
          <w:u w:val="single"/>
        </w:rPr>
      </w:r>
    </w:p>
    <w:p>
      <w:pPr>
        <w:pStyle w:val="Normal"/>
        <w:rPr>
          <w:sz w:val="24"/>
        </w:rPr>
      </w:pPr>
      <w:r>
        <w:rPr>
          <w:sz w:val="24"/>
        </w:rPr>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both"/>
        <w:rPr>
          <w:sz w:val="24"/>
        </w:rPr>
      </w:pPr>
      <w:r>
        <w:rPr>
          <w:sz w:val="24"/>
        </w:rPr>
      </w:r>
      <w:r>
        <w:br w:type="page"/>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r>
        <w:rPr>
          <w:sz w:val="24"/>
          <w:u w:val="single"/>
        </w:rPr>
        <w:tab/>
        <w:tab/>
        <w:tab/>
        <w:tab/>
        <w:tab/>
        <w:tab/>
        <w:tab/>
      </w:r>
    </w:p>
    <w:p>
      <w:pPr>
        <w:pStyle w:val="Normal"/>
        <w:rPr>
          <w:sz w:val="24"/>
        </w:rPr>
      </w:pPr>
      <w:r>
        <w:rPr>
          <w:sz w:val="24"/>
        </w:rPr>
        <w:t xml:space="preserve">                                                                                               </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___________</w:t>
        <w:tab/>
        <w:t>Dth/d</w:t>
        <w:tab/>
        <w:t xml:space="preserve">           </w:t>
      </w:r>
    </w:p>
    <w:p>
      <w:pPr>
        <w:pStyle w:val="Normal"/>
        <w:rPr>
          <w:b/>
          <w:sz w:val="24"/>
        </w:rPr>
      </w:pPr>
      <w:r>
        <w:rPr>
          <w:b/>
          <w:sz w:val="24"/>
        </w:rPr>
      </w:r>
    </w:p>
    <w:p>
      <w:pPr>
        <w:pStyle w:val="Normal"/>
        <w:rPr/>
      </w:pPr>
      <w:r>
        <w:rPr>
          <w:b/>
          <w:sz w:val="24"/>
        </w:rPr>
        <w:t>Commencement Date:</w:t>
      </w:r>
      <w:r>
        <w:rPr>
          <w:sz w:val="24"/>
        </w:rPr>
        <w:t xml:space="preserve"> </w:t>
        <w:tab/>
        <w:tab/>
        <w:tab/>
        <w:tab/>
        <w:t>_________________</w:t>
        <w:tab/>
      </w:r>
    </w:p>
    <w:p>
      <w:pPr>
        <w:pStyle w:val="Normal"/>
        <w:rPr>
          <w:sz w:val="24"/>
        </w:rPr>
      </w:pPr>
      <w:r>
        <w:rPr>
          <w:sz w:val="24"/>
        </w:rPr>
      </w:r>
    </w:p>
    <w:p>
      <w:pPr>
        <w:pStyle w:val="Normal"/>
        <w:rPr/>
      </w:pPr>
      <w:r>
        <w:rPr>
          <w:b/>
          <w:sz w:val="24"/>
        </w:rPr>
        <w:t>Termination Date:</w:t>
      </w:r>
      <w:r>
        <w:rPr>
          <w:sz w:val="24"/>
        </w:rPr>
        <w:tab/>
        <w:tab/>
        <w:tab/>
        <w:tab/>
        <w:tab/>
        <w:t>_________________</w:t>
      </w:r>
    </w:p>
    <w:p>
      <w:pPr>
        <w:pStyle w:val="Normal"/>
        <w:rPr>
          <w:sz w:val="24"/>
        </w:rPr>
      </w:pPr>
      <w:r>
        <w:rPr>
          <w:sz w:val="24"/>
        </w:rPr>
      </w:r>
    </w:p>
    <w:p>
      <w:pPr>
        <w:pStyle w:val="Normal"/>
        <w:rPr>
          <w:i/>
          <w:i/>
          <w:sz w:val="24"/>
        </w:rPr>
      </w:pPr>
      <w:r>
        <w:rPr>
          <w:i/>
          <w:sz w:val="24"/>
        </w:rPr>
        <w:t>*Term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53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2001-01-17T16:11:00Z</dcterms:created>
  <dc:creator>Jeanne Young</dc:creator>
  <dc:description/>
  <dc:language>en-CA</dc:language>
  <cp:lastModifiedBy>Laurie Brown</cp:lastModifiedBy>
  <cp:lastPrinted>2001-01-17T11:41:00Z</cp:lastPrinted>
  <dcterms:modified xsi:type="dcterms:W3CDTF">2001-01-18T12:25:00Z</dcterms:modified>
  <cp:revision>5</cp:revision>
  <dc:subject/>
  <dc:title>TDR PRECEDENT AGREEMENT</dc:title>
</cp:coreProperties>
</file>