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you and your designated affiliates (collectively,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to be completed by Enron, which together with this Agreement shall be considered a single agreement for all purposes and shall be referred to herein collectively as this “Agreement”) and to be legally bound by the terms and conditions of this Agreement.  Broker may evidence such intent by “clicking” on the designated spaces in this Agreement on the Website.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(i) to determine prices available for potential voice transactions with Enron traders, or (ii) at Broker’s sole discretion, to Execute on behalf of Participants who have agreed to be bound by the products, prices, quantities, terms and conditions selected by Broker; provided, however, Broker shall have no obligation to make executions through the Website.</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from time to time, including any changes thereto made from time to time.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 or Broker terminates this Agreement because of (i) a default by Enron hereunder or (ii) if there is a material change in the markets covered by the Website.  Enron will refund a pro rata portion of the Access Fee provided for in the Fee Agreement.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An execution attempt by Participant’s Broker on behalf of a Participant will be checked for available credit against the Enron database utilizing Participant’s and Broker’s credit availability.  This credit check will be done virtually simultaneously with the submittal of an Execution by Broker.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Enron may furnish Broker and Counterparty with telephonic or written confirmation of each Transaction and the terms of each such confirmation shall be valid and binding on Broker, as described below, unless objected to within three business days of the date of transmission thereof.  In the event of any conflict between the terms of this Agreement, any other agreements between Enron and Broker, or Enron and Counterparty, and the terms of such confirmation, the terms of the confirmation shall control.</w:t>
      </w:r>
    </w:p>
    <w:p>
      <w:pPr>
        <w:pStyle w:val="Normal"/>
        <w:widowControl/>
        <w:ind w:firstLine="1440" w:end="0"/>
        <w:jc w:val="both"/>
        <w:rPr>
          <w:sz w:val="22"/>
        </w:rPr>
      </w:pPr>
      <w:r>
        <w:rPr>
          <w:sz w:val="22"/>
        </w:rPr>
      </w:r>
    </w:p>
    <w:p>
      <w:pPr>
        <w:pStyle w:val="Normal"/>
        <w:widowControl/>
        <w:ind w:firstLine="1440" w:end="0"/>
        <w:jc w:val="both"/>
        <w:rPr>
          <w:sz w:val="22"/>
        </w:rPr>
      </w:pPr>
      <w:r>
        <w:rPr>
          <w:sz w:val="22"/>
        </w:rPr>
        <w:t>(f)</w:t>
        <w:tab/>
        <w:t>In the event that any Participant fails to confirm (or otherwise accept liability in a manner acceptable to Enron for) a Transaction for which Broker has made an Execution hereunder, after Broker has attempted to resolve the discrepancy in accordance with customary market practices,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delivered the written confirmation of verification required in paragraph (i)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Enron is authorized to draw on any letter of credit or otherwise realize on any other collateral or credit support posted by Broker from time to time in connection with this Agreement to satisfy any liability referred to herein.  In no event shall Broker have any liability for settlement of an Execution once accepted by a Participant, and thereafter deemed to be a Transaction.</w:t>
      </w:r>
    </w:p>
    <w:p>
      <w:pPr>
        <w:pStyle w:val="Normal"/>
        <w:widowControl/>
        <w:ind w:firstLine="1440" w:end="0"/>
        <w:jc w:val="both"/>
        <w:rPr>
          <w:sz w:val="22"/>
        </w:rPr>
      </w:pPr>
      <w:r>
        <w:rPr>
          <w:sz w:val="22"/>
        </w:rPr>
      </w:r>
    </w:p>
    <w:p>
      <w:pPr>
        <w:pStyle w:val="BodyText"/>
        <w:ind w:firstLine="1440" w:end="0"/>
        <w:rPr/>
      </w:pPr>
      <w:r>
        <w:rPr>
          <w:b w:val="false"/>
          <w:bCs/>
          <w:sz w:val="22"/>
        </w:rPr>
        <w:t>(g)</w:t>
      </w:r>
      <w:r>
        <w:rPr>
          <w:sz w:val="22"/>
        </w:rPr>
        <w:tab/>
      </w:r>
      <w:r>
        <w:rPr>
          <w:b w:val="false"/>
          <w:sz w:val="22"/>
        </w:rPr>
        <w:t>Broker will deliver to Enron one or more letters of credit from financial institutions and in a form acceptable to Enron (or such other form of credit support acceptable to Enron).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(h)</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(i)</w:t>
        <w:tab/>
        <w:t>On the day of each Execution, Broker will (i) verify each Execution with the relevant Counterparty in writing or by telephone,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will make copies of such recordings available to Enron on reasonable request.</w:t>
      </w:r>
    </w:p>
    <w:p>
      <w:pPr>
        <w:pStyle w:val="Normal"/>
        <w:spacing w:lineRule="exact" w:line="240" w:before="240" w:after="0"/>
        <w:ind w:firstLine="720" w:end="0"/>
        <w:jc w:val="both"/>
        <w:rPr>
          <w:sz w:val="22"/>
        </w:rPr>
      </w:pPr>
      <w:r>
        <w:rPr>
          <w:sz w:val="22"/>
        </w:rPr>
        <w:tab/>
        <w:t>(j)</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4.</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keepNext w:val="true"/>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keepNext w:val="true"/>
        <w:widowControl/>
        <w:ind w:firstLine="1440" w:end="0"/>
        <w:jc w:val="both"/>
        <w:rPr>
          <w:sz w:val="22"/>
        </w:rPr>
      </w:pPr>
      <w:r>
        <w:rPr>
          <w:sz w:val="22"/>
        </w:rPr>
      </w:r>
    </w:p>
    <w:p>
      <w:pPr>
        <w:pStyle w:val="Normal"/>
        <w:keepNext w:val="true"/>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BodyTextIndent"/>
        <w:rPr/>
      </w:pPr>
      <w:r>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rPr>
          <w:sz w:val="22"/>
        </w:rPr>
      </w:pPr>
      <w:r>
        <w:rPr>
          <w:sz w:val="22"/>
        </w:rPr>
      </w:r>
    </w:p>
    <w:p>
      <w:pPr>
        <w:pStyle w:val="Normal"/>
        <w:widowControl/>
        <w:rPr>
          <w:sz w:val="22"/>
        </w:rPr>
      </w:pPr>
      <w:r>
        <w:rPr>
          <w:sz w:val="22"/>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ab/>
        <w:t>PREBON ENERGY</w:t>
      </w:r>
    </w:p>
    <w:p>
      <w:pPr>
        <w:pStyle w:val="Normal"/>
        <w:widowControl/>
        <w:ind w:firstLine="720" w:start="1440" w:end="0"/>
        <w:rPr/>
      </w:pPr>
      <w:r>
        <w:rPr/>
        <w:tab/>
        <w:tab/>
        <w:tab/>
        <w:tab/>
        <w:tab/>
        <w:t>BROKER</w:t>
      </w:r>
    </w:p>
    <w:p>
      <w:pPr>
        <w:pStyle w:val="Normal"/>
        <w:widowControl/>
        <w:rPr>
          <w:sz w:val="22"/>
        </w:rPr>
      </w:pPr>
      <w:r>
        <w:rPr>
          <w:sz w:val="22"/>
        </w:rPr>
      </w:r>
    </w:p>
    <w:sectPr>
      <w:footerReference w:type="default" r:id="rId2"/>
      <w:type w:val="nextPage"/>
      <w:pgSz w:w="12240" w:h="15840"/>
      <w:pgMar w:left="2160" w:right="1440" w:gutter="0" w:header="0" w:top="1584" w:footer="965" w:bottom="102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486400" cy="113030"/>
              <wp:effectExtent l="0" t="0" r="0" b="0"/>
              <wp:wrapTopAndBottom/>
              <wp:docPr id="1" name="Frame1"/>
              <a:graphic xmlns:a="http://schemas.openxmlformats.org/drawingml/2006/main">
                <a:graphicData uri="http://schemas.microsoft.com/office/word/2010/wordprocessingShape">
                  <wps:wsp>
                    <wps:cNvSpPr txBox="1"/>
                    <wps:spPr>
                      <a:xfrm>
                        <a:off x="0" y="0"/>
                        <a:ext cx="5486400" cy="113030"/>
                      </a:xfrm>
                      <a:prstGeom prst="rect"/>
                      <a:solidFill>
                        <a:srgbClr val="FFFFFF">
                          <a:alpha val="0"/>
                        </a:srgbClr>
                      </a:solidFill>
                    </wps:spPr>
                    <wps:txbx>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/mnt/main-storage/datasets/enron-docs/doc/prebon_2.doc</w:t>
                          </w:r>
                          <w:r>
                            <w:rPr>
                              <w:sz w:val="16"/>
                            </w:rPr>
                            <w:fldChar w:fldCharType="end"/>
                          </w:r>
                        </w:p>
                      </w:txbxContent>
                    </wps:txbx>
                    <wps:bodyPr anchor="t" lIns="0" tIns="0" rIns="0" bIns="0">
                      <a:noAutofit/>
                    </wps:bodyPr>
                  </wps:wsp>
                </a:graphicData>
              </a:graphic>
            </wp:anchor>
          </w:drawing>
        </mc:Choice>
        <mc:Fallback>
          <w:pict>
            <v:rect fillcolor="#FFFFFF" style="position:absolute;rotation:-0;width:432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/mnt/main-storage/datasets/enron-docs/doc/prebon_2.doc</w:t>
                    </w:r>
                    <w:r>
                      <w:rPr>
                        <w:sz w:val="16"/>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8</w:t>
    </w:r>
    <w:r>
      <w:rPr/>
      <w:fldChar w:fldCharType="end"/>
    </w:r>
    <w:r>
      <w:rPr/>
      <w:t>–</w:t>
    </w:r>
  </w:p>
</w:ftr>
</file>

<file path=word/settings.xml><?xml version="1.0" encoding="utf-8"?>
<w:settings xmlns:w="http://schemas.openxmlformats.org/wordprocessingml/2006/main">
  <w:zoom w:percent="15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ind w:firstLine="1440" w:start="0" w:end="0"/>
      <w:jc w:val="both"/>
    </w:pPr>
    <w:rPr>
      <w:sz w:val="22"/>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2001-03-01T17:18:00Z</dcterms:created>
  <dc:creator>mtaylo1</dc:creator>
  <dc:description/>
  <dc:language>en-CA</dc:language>
  <cp:lastModifiedBy>tjones</cp:lastModifiedBy>
  <cp:lastPrinted>2001-01-03T13:56:00Z</cp:lastPrinted>
  <dcterms:modified xsi:type="dcterms:W3CDTF">2001-03-02T18:08:00Z</dcterms:modified>
  <cp:revision>8</cp:revision>
  <dc:subject/>
  <dc:title/>
</cp:coreProperties>
</file>