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Prebon Energy, Inc.</w:t>
      </w:r>
    </w:p>
    <w:p>
      <w:pPr>
        <w:pStyle w:val="Normal"/>
        <w:jc w:val="both"/>
        <w:rPr>
          <w:rFonts w:ascii="Times New Roman" w:hAnsi="Times New Roman" w:cs="Times New Roman"/>
          <w:sz w:val="22"/>
        </w:rPr>
      </w:pPr>
      <w:r>
        <w:rPr>
          <w:rFonts w:cs="Times New Roman" w:ascii="Times New Roman" w:hAnsi="Times New Roman"/>
          <w:sz w:val="22"/>
        </w:rPr>
        <w:t>101 Hudson Street</w:t>
      </w:r>
    </w:p>
    <w:p>
      <w:pPr>
        <w:pStyle w:val="Normal"/>
        <w:jc w:val="both"/>
        <w:rPr>
          <w:rFonts w:ascii="Times New Roman" w:hAnsi="Times New Roman" w:cs="Times New Roman"/>
          <w:sz w:val="22"/>
        </w:rPr>
      </w:pPr>
      <w:r>
        <w:rPr>
          <w:rFonts w:cs="Times New Roman" w:ascii="Times New Roman" w:hAnsi="Times New Roman"/>
          <w:sz w:val="22"/>
        </w:rPr>
        <w:t>Jersey City, New Jersey  07302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Prebon Energy, Inc. and Enron North America Corp., Enron Net Works LLC and EnronOnline, LLC (hereinafter individually and collectively referred to as a party) and their affiliates are prepared to furnish each other with information (the "Confidential Information") in connection with a possible transaction or other business relationship (“Transaction”) involving the EnronOnline website.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PREBON ENERGY,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/mnt/main-storage/datasets/enron-docs/doc/prebon-41fb4b9d9768f6e863f8985f47a052ca47740856213c766ad52a141d34a515c9.doc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Prebon Energy,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2000-11-15T12:40:00Z</dcterms:created>
  <dc:creator>ECT</dc:creator>
  <dc:description/>
  <dc:language>en-CA</dc:language>
  <cp:lastModifiedBy>tjones</cp:lastModifiedBy>
  <cp:lastPrinted>2000-11-15T09:13:00Z</cp:lastPrinted>
  <dcterms:modified xsi:type="dcterms:W3CDTF">2000-11-15T12:44:00Z</dcterms:modified>
  <cp:revision>5</cp:revision>
  <dc:subject/>
  <dc:title>Reciprocal Confidentiality Agreement</dc:title>
</cp:coreProperties>
</file>