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rPr>
      </w:pPr>
      <w:r>
        <w:rPr>
          <w:b/>
          <w:sz w:val="22"/>
        </w:rPr>
        <w:t>MEMORANDUM</w:t>
      </w:r>
    </w:p>
    <w:p>
      <w:pPr>
        <w:pStyle w:val="Normal"/>
        <w:rPr>
          <w:b/>
          <w:sz w:val="22"/>
        </w:rPr>
      </w:pPr>
      <w:r>
        <w:rPr>
          <w:b/>
          <w:sz w:val="22"/>
        </w:rPr>
      </w:r>
    </w:p>
    <w:p>
      <w:pPr>
        <w:pStyle w:val="Normal"/>
        <w:rPr>
          <w:b/>
          <w:sz w:val="22"/>
        </w:rPr>
      </w:pPr>
      <w:r>
        <w:rPr>
          <w:b/>
          <w:sz w:val="22"/>
        </w:rPr>
      </w:r>
    </w:p>
    <w:p>
      <w:pPr>
        <w:pStyle w:val="Heading1"/>
        <w:ind w:hanging="0" w:start="0"/>
        <w:rPr>
          <w:sz w:val="22"/>
        </w:rPr>
      </w:pPr>
      <w:r>
        <w:rPr>
          <w:sz w:val="22"/>
        </w:rPr>
        <w:t>TO:</w:t>
        <w:tab/>
        <w:tab/>
        <w:t>All Managers and Above</w:t>
      </w:r>
    </w:p>
    <w:p>
      <w:pPr>
        <w:pStyle w:val="Normal"/>
        <w:rPr>
          <w:b/>
          <w:sz w:val="22"/>
        </w:rPr>
      </w:pPr>
      <w:r>
        <w:rPr>
          <w:b/>
          <w:sz w:val="22"/>
        </w:rPr>
      </w:r>
    </w:p>
    <w:p>
      <w:pPr>
        <w:pStyle w:val="Normal"/>
        <w:rPr>
          <w:b/>
          <w:sz w:val="22"/>
        </w:rPr>
      </w:pPr>
      <w:r>
        <w:rPr>
          <w:b/>
          <w:sz w:val="22"/>
        </w:rPr>
        <w:t>FROM:</w:t>
        <w:tab/>
        <w:t>Steve Kean and Cindy Olson</w:t>
      </w:r>
    </w:p>
    <w:p>
      <w:pPr>
        <w:pStyle w:val="Normal"/>
        <w:rPr>
          <w:b/>
          <w:sz w:val="22"/>
        </w:rPr>
      </w:pPr>
      <w:r>
        <w:rPr>
          <w:b/>
          <w:sz w:val="22"/>
        </w:rPr>
      </w:r>
    </w:p>
    <w:p>
      <w:pPr>
        <w:pStyle w:val="Normal"/>
        <w:rPr>
          <w:b/>
          <w:sz w:val="22"/>
        </w:rPr>
      </w:pPr>
      <w:r>
        <w:rPr>
          <w:b/>
          <w:sz w:val="22"/>
        </w:rPr>
        <w:t>DATE:</w:t>
        <w:tab/>
        <w:tab/>
        <w:t>December 2000</w:t>
      </w:r>
    </w:p>
    <w:p>
      <w:pPr>
        <w:pStyle w:val="Normal"/>
        <w:rPr>
          <w:b/>
          <w:sz w:val="22"/>
        </w:rPr>
      </w:pPr>
      <w:r>
        <w:rPr>
          <w:b/>
          <w:sz w:val="22"/>
        </w:rPr>
      </w:r>
    </w:p>
    <w:p>
      <w:pPr>
        <w:pStyle w:val="Normal"/>
        <w:rPr>
          <w:b/>
          <w:sz w:val="22"/>
        </w:rPr>
      </w:pPr>
      <w:r>
        <w:rPr>
          <w:b/>
          <w:sz w:val="22"/>
        </w:rPr>
        <w:t>RE:</w:t>
        <w:tab/>
        <w:tab/>
        <w:t xml:space="preserve">PRC </w:t>
      </w:r>
    </w:p>
    <w:p>
      <w:pPr>
        <w:pStyle w:val="Normal"/>
        <w:rPr>
          <w:b/>
          <w:sz w:val="22"/>
        </w:rPr>
      </w:pPr>
      <w:r>
        <w:rPr>
          <w:b/>
          <w:sz w:val="22"/>
        </w:rPr>
      </w:r>
    </w:p>
    <w:p>
      <w:pPr>
        <w:pStyle w:val="BodyText"/>
        <w:rPr/>
      </w:pPr>
      <w:r>
        <w:rPr/>
        <w:t>With the extension of the PRC to all organizations, questions will arise about how to explain the results of this process. This memo provides a common set of messages for you to use in talking to your employees.</w:t>
      </w:r>
    </w:p>
    <w:p>
      <w:pPr>
        <w:pStyle w:val="BodyText"/>
        <w:rPr/>
      </w:pPr>
      <w:r>
        <w:rPr/>
      </w:r>
    </w:p>
    <w:p>
      <w:pPr>
        <w:pStyle w:val="BodyText"/>
        <w:rPr/>
      </w:pPr>
      <w:r>
        <w:rPr/>
        <w:t>First some context:  The key to Enron’s success is the increasing quality and dedication of our talent.  As we continue to attract and retain the very best people, our employees have continued to raise the performance bar throughout the organization.  At the core of our system are the following principles:</w:t>
      </w:r>
    </w:p>
    <w:p>
      <w:pPr>
        <w:pStyle w:val="BodyText"/>
        <w:rPr/>
      </w:pPr>
      <w:r>
        <w:rPr/>
      </w:r>
    </w:p>
    <w:p>
      <w:pPr>
        <w:pStyle w:val="BodyText"/>
        <w:numPr>
          <w:ilvl w:val="0"/>
          <w:numId w:val="2"/>
        </w:numPr>
        <w:rPr/>
      </w:pPr>
      <w:r>
        <w:rPr/>
        <w:t>Hire the best people.</w:t>
      </w:r>
    </w:p>
    <w:p>
      <w:pPr>
        <w:pStyle w:val="BodyText"/>
        <w:numPr>
          <w:ilvl w:val="0"/>
          <w:numId w:val="2"/>
        </w:numPr>
        <w:rPr/>
      </w:pPr>
      <w:r>
        <w:rPr/>
        <w:t>Provide challenging opportunities.</w:t>
      </w:r>
    </w:p>
    <w:p>
      <w:pPr>
        <w:pStyle w:val="BodyText"/>
        <w:numPr>
          <w:ilvl w:val="0"/>
          <w:numId w:val="2"/>
        </w:numPr>
        <w:rPr/>
      </w:pPr>
      <w:r>
        <w:rPr/>
        <w:t>Pay well … and pay for performance (with bonuses based on merit, not entitlement).</w:t>
      </w:r>
    </w:p>
    <w:p>
      <w:pPr>
        <w:pStyle w:val="BodyText"/>
        <w:numPr>
          <w:ilvl w:val="0"/>
          <w:numId w:val="2"/>
        </w:numPr>
        <w:rPr/>
      </w:pPr>
      <w:r>
        <w:rPr/>
        <w:t>Evalute performance through a rigorous review process.</w:t>
      </w:r>
    </w:p>
    <w:p>
      <w:pPr>
        <w:pStyle w:val="BodyText"/>
        <w:numPr>
          <w:ilvl w:val="0"/>
          <w:numId w:val="2"/>
        </w:numPr>
        <w:rPr/>
      </w:pPr>
      <w:r>
        <w:rPr/>
        <w:t>Provide clear feedback and direction to employees.</w:t>
      </w:r>
    </w:p>
    <w:p>
      <w:pPr>
        <w:pStyle w:val="BodyText"/>
        <w:ind w:start="720" w:end="0"/>
        <w:rPr/>
      </w:pPr>
      <w:r>
        <w:rPr/>
      </w:r>
    </w:p>
    <w:p>
      <w:pPr>
        <w:pStyle w:val="BodyText"/>
        <w:rPr/>
      </w:pPr>
      <w:r>
        <w:rPr/>
        <w:t>The PRC is a critical component of our management system.  At its core, the PRC relies on:</w:t>
      </w:r>
    </w:p>
    <w:p>
      <w:pPr>
        <w:pStyle w:val="BodyText"/>
        <w:rPr/>
      </w:pPr>
      <w:r>
        <w:rPr/>
      </w:r>
    </w:p>
    <w:p>
      <w:pPr>
        <w:pStyle w:val="BodyText"/>
        <w:numPr>
          <w:ilvl w:val="0"/>
          <w:numId w:val="3"/>
        </w:numPr>
        <w:rPr/>
      </w:pPr>
      <w:r>
        <w:rPr/>
        <w:t>360 degree performance feedback.</w:t>
      </w:r>
    </w:p>
    <w:p>
      <w:pPr>
        <w:pStyle w:val="BodyText"/>
        <w:numPr>
          <w:ilvl w:val="0"/>
          <w:numId w:val="3"/>
        </w:numPr>
        <w:rPr/>
      </w:pPr>
      <w:r>
        <w:rPr/>
        <w:t>Review by a broad group, not just the supervisor.</w:t>
      </w:r>
    </w:p>
    <w:p>
      <w:pPr>
        <w:pStyle w:val="BodyText"/>
        <w:numPr>
          <w:ilvl w:val="0"/>
          <w:numId w:val="3"/>
        </w:numPr>
        <w:rPr/>
      </w:pPr>
      <w:r>
        <w:rPr/>
        <w:t>A relative ranking of performance across Enron to determine promotions and to allocate bonus money.</w:t>
      </w:r>
    </w:p>
    <w:p>
      <w:pPr>
        <w:pStyle w:val="BodyText"/>
        <w:rPr/>
      </w:pPr>
      <w:r>
        <w:rPr/>
      </w:r>
    </w:p>
    <w:p>
      <w:pPr>
        <w:pStyle w:val="BodyText"/>
        <w:rPr/>
      </w:pPr>
      <w:r>
        <w:rPr/>
      </w:r>
    </w:p>
    <w:p>
      <w:pPr>
        <w:pStyle w:val="BodyText"/>
        <w:rPr/>
      </w:pPr>
      <w:r>
        <w:rPr/>
        <w:t>In addition to understanding this broad philosophy, employees new to the process will need to understand the following when providing or receiving feedback:</w:t>
      </w:r>
    </w:p>
    <w:p>
      <w:pPr>
        <w:pStyle w:val="BodyText"/>
        <w:rPr/>
      </w:pPr>
      <w:r>
        <w:rPr/>
      </w:r>
    </w:p>
    <w:p>
      <w:pPr>
        <w:pStyle w:val="BodyText"/>
        <w:numPr>
          <w:ilvl w:val="0"/>
          <w:numId w:val="4"/>
        </w:numPr>
        <w:rPr/>
      </w:pPr>
      <w:r>
        <w:rPr>
          <w:b/>
          <w:bCs/>
          <w:u w:val="single"/>
        </w:rPr>
        <w:t>Relative ranking.</w:t>
      </w:r>
      <w:r>
        <w:rPr/>
        <w:t xml:space="preserve">  Enron uses the descriptors “superior”, “excellent”, “strong”, “needs improvement”, and “issues” to group performers.  This year, “relative to his/her peers” precedes each of these descriptors. This qualifier confirms what we have done and will continue to do in practice; that is, evaluate individual performers against their peers.  It is possible, therefore, for someone to perform at the same or higher level compared to prior periods, yet receive a lower rating for the current period if other employees’ performance raised the bar.  The relative nature of the rating should be communicated to all employees.</w:t>
      </w:r>
    </w:p>
    <w:p>
      <w:pPr>
        <w:pStyle w:val="BodyText"/>
        <w:numPr>
          <w:ilvl w:val="0"/>
          <w:numId w:val="4"/>
        </w:numPr>
        <w:rPr/>
      </w:pPr>
      <w:r>
        <w:rPr>
          <w:b/>
          <w:bCs/>
          <w:u w:val="single"/>
        </w:rPr>
        <w:t>Teamwork.</w:t>
      </w:r>
      <w:r>
        <w:rPr/>
        <w:t xml:space="preserve">  A relative ranking invites the view that for one employee to gain, others must suffer.  As a consequence, we explicitly solicit feedback on teamwork when evaluating each individual’s performance.  Anyone who attempts to gain by withholding information or refusing to collaborate with others in the organization will suffer in a relative ranking on this key performance criterion.</w:t>
      </w:r>
    </w:p>
    <w:p>
      <w:pPr>
        <w:pStyle w:val="BodyText"/>
        <w:numPr>
          <w:ilvl w:val="0"/>
          <w:numId w:val="4"/>
        </w:numPr>
        <w:rPr/>
      </w:pPr>
      <w:r>
        <w:rPr>
          <w:b/>
          <w:bCs/>
          <w:u w:val="single"/>
        </w:rPr>
        <w:t>Preferred distribution.</w:t>
      </w:r>
      <w:r>
        <w:rPr/>
        <w:t xml:space="preserve"> In large part, the quality of our workforce has been driven by our willingness to make tough decisions. We have consistently captured business opportunities and overcome obstacles because we have made the choices that had to be made in order to constantly improve our employee talent base. The preferred distribution (5% superior, 30% excellent, 30% strong, 20% satisfactory, and 15% needs improvement or issues) forces PRC committee members to identify those who must improve in order to remain at Enron as well as to single out top talent for special recognition. There is some flexibility in the system, but every organization must ultimately face this difficult question: have we achieved the highest level of performance or are there still improvements that must be made? Few, if any, organizations adhere exactly to the preferred distribution. Rather, they exercise informed discretion in the individual categories and meet a distribution that reflects their groups’ overall effectiveness and  need for improvement.</w:t>
      </w:r>
    </w:p>
    <w:p>
      <w:pPr>
        <w:pStyle w:val="BodyText"/>
        <w:numPr>
          <w:ilvl w:val="0"/>
          <w:numId w:val="4"/>
        </w:numPr>
        <w:rPr/>
      </w:pPr>
      <w:r>
        <w:rPr>
          <w:b/>
          <w:bCs/>
          <w:u w:val="single"/>
        </w:rPr>
        <w:t>Communicating Ratings.</w:t>
      </w:r>
      <w:r>
        <w:rPr/>
        <w:t xml:space="preserve"> Everyone rated “satisfactory” or below should know their rating. Each organization should determine for itself whether to communicate ratings of “strong” and above.  In all cases, employees must receive feedback about their performance against expectations, areas of success, and areas that need improvement.</w:t>
      </w:r>
    </w:p>
    <w:p>
      <w:pPr>
        <w:pStyle w:val="BodyText"/>
        <w:rPr/>
      </w:pPr>
      <w:r>
        <w:rPr/>
      </w:r>
    </w:p>
    <w:p>
      <w:pPr>
        <w:pStyle w:val="BodyText"/>
        <w:rPr/>
      </w:pPr>
      <w:r>
        <w:rPr/>
        <w:t xml:space="preserve"> </w:t>
      </w:r>
    </w:p>
    <w:p>
      <w:pPr>
        <w:pStyle w:val="BodyText"/>
        <w:rPr/>
      </w:pPr>
      <w:r>
        <w:rPr/>
        <w:t>All supervisors should:</w:t>
      </w:r>
    </w:p>
    <w:p>
      <w:pPr>
        <w:pStyle w:val="BodyText"/>
        <w:numPr>
          <w:ilvl w:val="0"/>
          <w:numId w:val="5"/>
        </w:numPr>
        <w:rPr/>
      </w:pPr>
      <w:r>
        <w:rPr/>
        <w:t>Explain the PRC process, as outlined above.</w:t>
      </w:r>
    </w:p>
    <w:p>
      <w:pPr>
        <w:pStyle w:val="BodyText"/>
        <w:numPr>
          <w:ilvl w:val="0"/>
          <w:numId w:val="5"/>
        </w:numPr>
        <w:rPr/>
      </w:pPr>
      <w:r>
        <w:rPr/>
        <w:t>Communicate detailed written performance evaluations to employees.</w:t>
      </w:r>
    </w:p>
    <w:p>
      <w:pPr>
        <w:pStyle w:val="BodyText"/>
        <w:numPr>
          <w:ilvl w:val="0"/>
          <w:numId w:val="5"/>
        </w:numPr>
        <w:rPr/>
      </w:pPr>
      <w:r>
        <w:rPr/>
        <w:t xml:space="preserve">Not  “cop out” -- do not blame poor ratings on the process. Each PRC requires unanimity. Any individual PRC member is able to stop approval of a “slate” if he or she disagrees. </w:t>
      </w:r>
    </w:p>
    <w:p>
      <w:pPr>
        <w:pStyle w:val="BodyText"/>
        <w:numPr>
          <w:ilvl w:val="0"/>
          <w:numId w:val="5"/>
        </w:numPr>
        <w:rPr/>
      </w:pPr>
      <w:r>
        <w:rPr/>
        <w:t>Complete the review process by the end of January.</w:t>
      </w:r>
    </w:p>
    <w:p>
      <w:pPr>
        <w:pStyle w:val="BodyText"/>
        <w:rPr/>
      </w:pPr>
      <w:r>
        <w:rPr/>
      </w:r>
    </w:p>
    <w:p>
      <w:pPr>
        <w:pStyle w:val="BodyText"/>
        <w:rPr/>
      </w:pPr>
      <w:r>
        <w:rPr/>
      </w:r>
    </w:p>
    <w:p>
      <w:pPr>
        <w:pStyle w:val="BodyText"/>
        <w:rPr/>
      </w:pPr>
      <w:r>
        <w:rPr/>
        <w:t>Human resources will hold training sessions to assist supervisors with the task of preparing and communicating feedback.</w:t>
      </w:r>
    </w:p>
    <w:p>
      <w:pPr>
        <w:pStyle w:val="BodyText"/>
        <w:rPr/>
      </w:pPr>
      <w:r>
        <w:rPr/>
      </w:r>
    </w:p>
    <w:p>
      <w:pPr>
        <w:pStyle w:val="BodyText"/>
        <w:rPr/>
      </w:pPr>
      <w:r>
        <w:rPr/>
        <w:t>Your HR representative is available to answer questions and provide further guidance on how to review employees.</w:t>
      </w:r>
    </w:p>
    <w:p>
      <w:pPr>
        <w:pStyle w:val="BodyText"/>
        <w:rPr/>
      </w:pPr>
      <w:r>
        <w:rPr/>
        <w:t xml:space="preserve">     </w:t>
      </w:r>
    </w:p>
    <w:p>
      <w:pPr>
        <w:pStyle w:val="Normal"/>
        <w:rPr>
          <w:sz w:val="22"/>
        </w:rPr>
      </w:pPr>
      <w:r>
        <w:rPr>
          <w:sz w:val="22"/>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170"/>
        </w:tabs>
        <w:ind w:start="117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2000-12-20T20:18:00Z</dcterms:created>
  <dc:creator>Dan Warrick</dc:creator>
  <dc:description/>
  <dc:language>en-CA</dc:language>
  <cp:lastModifiedBy>mmcvick</cp:lastModifiedBy>
  <cp:lastPrinted>2000-12-20T17:44:00Z</cp:lastPrinted>
  <dcterms:modified xsi:type="dcterms:W3CDTF">2000-12-20T21:26:00Z</dcterms:modified>
  <cp:revision>7</cp:revision>
  <dc:subject/>
  <dc:title>As PRC comes to a close and you prepare to deliver feedback to your employees I want to provide you with some guidance when addressing their questions</dc:title>
</cp:coreProperties>
</file>