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9/6//00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92878608">
            <w:r>
              <w:rPr>
                <w:rStyle w:val="IndexLink"/>
                <w:lang w:val="en-CA" w:eastAsia="en-CA"/>
              </w:rPr>
              <w:t>1</w:t>
            </w:r>
          </w:hyperlink>
        </w:p>
        <w:p>
          <w:pPr>
            <w:pStyle w:val="TOC1"/>
            <w:rPr>
              <w:lang w:val="en-CA" w:eastAsia="en-CA"/>
            </w:rPr>
          </w:pPr>
          <w:r>
            <w:rPr>
              <w:lang w:val="en-CA" w:eastAsia="en-CA"/>
            </w:rPr>
            <w:t>ARTICLE 1  DEFINITIONS</w:t>
            <w:tab/>
          </w:r>
          <w:hyperlink w:anchor="__RefHeading___Toc492878609">
            <w:r>
              <w:rPr>
                <w:rStyle w:val="IndexLink"/>
                <w:lang w:val="en-CA" w:eastAsia="en-CA"/>
              </w:rPr>
              <w:t>1</w:t>
            </w:r>
          </w:hyperlink>
        </w:p>
        <w:p>
          <w:pPr>
            <w:pStyle w:val="TOC2"/>
            <w:rPr/>
          </w:pPr>
          <w:r>
            <w:rPr/>
            <w:t>1.1</w:t>
            <w:tab/>
            <w:t>Definitions</w:t>
            <w:tab/>
          </w:r>
          <w:hyperlink w:anchor="__RefHeading___Toc492878610">
            <w:r>
              <w:rPr>
                <w:rStyle w:val="IndexLink"/>
              </w:rPr>
              <w:t>1</w:t>
            </w:r>
          </w:hyperlink>
        </w:p>
        <w:p>
          <w:pPr>
            <w:pStyle w:val="TOC2"/>
            <w:rPr/>
          </w:pPr>
          <w:r>
            <w:rPr/>
            <w:t>1.2</w:t>
            <w:tab/>
            <w:t>Rules of Construction</w:t>
            <w:tab/>
          </w:r>
          <w:hyperlink w:anchor="__RefHeading___Toc492878611">
            <w:r>
              <w:rPr>
                <w:rStyle w:val="IndexLink"/>
              </w:rPr>
              <w:t>5</w:t>
            </w:r>
          </w:hyperlink>
        </w:p>
        <w:p>
          <w:pPr>
            <w:pStyle w:val="TOC1"/>
            <w:rPr>
              <w:lang w:val="en-CA" w:eastAsia="en-CA"/>
            </w:rPr>
          </w:pPr>
          <w:r>
            <w:rPr>
              <w:lang w:val="en-CA" w:eastAsia="en-CA"/>
            </w:rPr>
            <w:t>ARTICLE 2  TERM</w:t>
            <w:tab/>
          </w:r>
          <w:hyperlink w:anchor="__RefHeading___Toc492878612">
            <w:r>
              <w:rPr>
                <w:rStyle w:val="IndexLink"/>
                <w:lang w:val="en-CA" w:eastAsia="en-CA"/>
              </w:rPr>
              <w:t>6</w:t>
            </w:r>
          </w:hyperlink>
        </w:p>
        <w:p>
          <w:pPr>
            <w:pStyle w:val="TOC2"/>
            <w:rPr/>
          </w:pPr>
          <w:r>
            <w:rPr/>
            <w:t>2.1</w:t>
            <w:tab/>
            <w:t>Contract Term</w:t>
            <w:tab/>
          </w:r>
          <w:hyperlink w:anchor="__RefHeading___Toc492878613">
            <w:r>
              <w:rPr>
                <w:rStyle w:val="IndexLink"/>
              </w:rPr>
              <w:t>6</w:t>
            </w:r>
          </w:hyperlink>
        </w:p>
        <w:p>
          <w:pPr>
            <w:pStyle w:val="TOC2"/>
            <w:rPr/>
          </w:pPr>
          <w:r>
            <w:rPr/>
            <w:t>2.2</w:t>
            <w:tab/>
            <w:t>Delivery Term</w:t>
            <w:tab/>
          </w:r>
          <w:hyperlink w:anchor="__RefHeading___Toc492878614">
            <w:r>
              <w:rPr>
                <w:rStyle w:val="IndexLink"/>
              </w:rPr>
              <w:t>7</w:t>
            </w:r>
          </w:hyperlink>
        </w:p>
        <w:p>
          <w:pPr>
            <w:pStyle w:val="TOC2"/>
            <w:rPr/>
          </w:pPr>
          <w:r>
            <w:rPr/>
            <w:t>2.3</w:t>
            <w:tab/>
            <w:t>Construction of the Facility</w:t>
            <w:tab/>
          </w:r>
          <w:hyperlink w:anchor="__RefHeading___Toc492878615">
            <w:r>
              <w:rPr>
                <w:rStyle w:val="IndexLink"/>
              </w:rPr>
              <w:t>7</w:t>
            </w:r>
          </w:hyperlink>
        </w:p>
        <w:p>
          <w:pPr>
            <w:pStyle w:val="TOC1"/>
            <w:rPr>
              <w:lang w:val="en-CA" w:eastAsia="en-CA"/>
            </w:rPr>
          </w:pPr>
          <w:r>
            <w:rPr>
              <w:lang w:val="en-CA" w:eastAsia="en-CA"/>
            </w:rPr>
            <w:t>ARTICLE 3  QUANTITY; SCHEDULING</w:t>
            <w:tab/>
          </w:r>
          <w:hyperlink w:anchor="__RefHeading___Toc492878616">
            <w:r>
              <w:rPr>
                <w:rStyle w:val="IndexLink"/>
                <w:lang w:val="en-CA" w:eastAsia="en-CA"/>
              </w:rPr>
              <w:t>7</w:t>
            </w:r>
          </w:hyperlink>
        </w:p>
        <w:p>
          <w:pPr>
            <w:pStyle w:val="TOC2"/>
            <w:rPr/>
          </w:pPr>
          <w:r>
            <w:rPr/>
            <w:t>3.1</w:t>
            <w:tab/>
            <w:t>Contract Quantity</w:t>
            <w:tab/>
          </w:r>
          <w:hyperlink w:anchor="__RefHeading___Toc492878617">
            <w:r>
              <w:rPr>
                <w:rStyle w:val="IndexLink"/>
              </w:rPr>
              <w:t>7</w:t>
            </w:r>
          </w:hyperlink>
        </w:p>
        <w:p>
          <w:pPr>
            <w:pStyle w:val="TOC2"/>
            <w:rPr/>
          </w:pPr>
          <w:r>
            <w:rPr/>
            <w:t>3.2</w:t>
            <w:tab/>
            <w:t>Deliveries</w:t>
            <w:tab/>
          </w:r>
          <w:hyperlink w:anchor="__RefHeading___Toc492878618">
            <w:r>
              <w:rPr>
                <w:rStyle w:val="IndexLink"/>
              </w:rPr>
              <w:t>8</w:t>
            </w:r>
          </w:hyperlink>
        </w:p>
        <w:p>
          <w:pPr>
            <w:pStyle w:val="TOC2"/>
            <w:rPr/>
          </w:pPr>
          <w:r>
            <w:rPr/>
            <w:t>3.3</w:t>
            <w:tab/>
            <w:t>Alternate Source of Supply</w:t>
            <w:tab/>
          </w:r>
          <w:hyperlink w:anchor="__RefHeading___Toc492878619">
            <w:r>
              <w:rPr>
                <w:rStyle w:val="IndexLink"/>
              </w:rPr>
              <w:t>8</w:t>
            </w:r>
          </w:hyperlink>
        </w:p>
        <w:p>
          <w:pPr>
            <w:pStyle w:val="TOC2"/>
            <w:rPr/>
          </w:pPr>
          <w:r>
            <w:rPr/>
            <w:t>3.4</w:t>
            <w:tab/>
            <w:t>Scheduling</w:t>
            <w:tab/>
          </w:r>
          <w:hyperlink w:anchor="__RefHeading___Toc492878620">
            <w:r>
              <w:rPr>
                <w:rStyle w:val="IndexLink"/>
              </w:rPr>
              <w:t>9</w:t>
            </w:r>
          </w:hyperlink>
        </w:p>
        <w:p>
          <w:pPr>
            <w:pStyle w:val="TOC1"/>
            <w:rPr>
              <w:lang w:val="en-CA" w:eastAsia="en-CA"/>
            </w:rPr>
          </w:pPr>
          <w:r>
            <w:rPr>
              <w:lang w:val="en-CA" w:eastAsia="en-CA"/>
            </w:rPr>
            <w:t>ARTICLE 4  CONTRACT PRICE</w:t>
            <w:tab/>
          </w:r>
          <w:hyperlink w:anchor="__RefHeading___Toc492878621">
            <w:r>
              <w:rPr>
                <w:rStyle w:val="IndexLink"/>
                <w:lang w:val="en-CA" w:eastAsia="en-CA"/>
              </w:rPr>
              <w:t>10</w:t>
            </w:r>
          </w:hyperlink>
        </w:p>
        <w:p>
          <w:pPr>
            <w:pStyle w:val="TOC2"/>
            <w:rPr/>
          </w:pPr>
          <w:r>
            <w:rPr/>
            <w:t>4.1</w:t>
            <w:tab/>
            <w:t>Contract Price</w:t>
            <w:tab/>
          </w:r>
          <w:hyperlink w:anchor="__RefHeading___Toc492878622">
            <w:r>
              <w:rPr>
                <w:rStyle w:val="IndexLink"/>
              </w:rPr>
              <w:t>10</w:t>
            </w:r>
          </w:hyperlink>
        </w:p>
        <w:p>
          <w:pPr>
            <w:pStyle w:val="TOC2"/>
            <w:rPr/>
          </w:pPr>
          <w:r>
            <w:rPr/>
            <w:t>4.2</w:t>
            <w:tab/>
            <w:t>Demand Charge</w:t>
            <w:tab/>
          </w:r>
          <w:hyperlink w:anchor="__RefHeading___Toc492878623">
            <w:r>
              <w:rPr>
                <w:rStyle w:val="IndexLink"/>
              </w:rPr>
              <w:t>10</w:t>
            </w:r>
          </w:hyperlink>
        </w:p>
        <w:p>
          <w:pPr>
            <w:pStyle w:val="TOC2"/>
            <w:rPr/>
          </w:pPr>
          <w:r>
            <w:rPr/>
            <w:t>4.3</w:t>
            <w:tab/>
            <w:t>Energy Charge</w:t>
            <w:tab/>
          </w:r>
          <w:hyperlink w:anchor="__RefHeading___Toc492878624">
            <w:r>
              <w:rPr>
                <w:rStyle w:val="IndexLink"/>
              </w:rPr>
              <w:t>10</w:t>
            </w:r>
          </w:hyperlink>
        </w:p>
        <w:p>
          <w:pPr>
            <w:pStyle w:val="TOC2"/>
            <w:rPr/>
          </w:pPr>
          <w:r>
            <w:rPr/>
            <w:t>4.4</w:t>
            <w:tab/>
            <w:t>O&amp;M Charge</w:t>
            <w:tab/>
          </w:r>
          <w:hyperlink w:anchor="__RefHeading___Toc492878625">
            <w:r>
              <w:rPr>
                <w:rStyle w:val="IndexLink"/>
              </w:rPr>
              <w:t>11</w:t>
            </w:r>
          </w:hyperlink>
        </w:p>
        <w:p>
          <w:pPr>
            <w:pStyle w:val="TOC2"/>
            <w:rPr/>
          </w:pPr>
          <w:r>
            <w:rPr/>
            <w:t>4.5</w:t>
            <w:tab/>
            <w:t>Dispatch Order Charge</w:t>
            <w:tab/>
          </w:r>
          <w:hyperlink w:anchor="__RefHeading___Toc492878626">
            <w:r>
              <w:rPr>
                <w:rStyle w:val="IndexLink"/>
              </w:rPr>
              <w:t>11</w:t>
            </w:r>
          </w:hyperlink>
        </w:p>
        <w:p>
          <w:pPr>
            <w:pStyle w:val="TOC2"/>
            <w:rPr/>
          </w:pPr>
          <w:r>
            <w:rPr/>
            <w:t>4.6</w:t>
            <w:tab/>
            <w:t>Liquidated Damages for Non-Performance</w:t>
            <w:tab/>
          </w:r>
          <w:hyperlink w:anchor="__RefHeading___Toc492878627">
            <w:r>
              <w:rPr>
                <w:rStyle w:val="IndexLink"/>
              </w:rPr>
              <w:t>11</w:t>
            </w:r>
          </w:hyperlink>
        </w:p>
        <w:p>
          <w:pPr>
            <w:pStyle w:val="TOC2"/>
            <w:rPr/>
          </w:pPr>
          <w:r>
            <w:rPr/>
            <w:t>4.7</w:t>
            <w:tab/>
            <w:t>Payment of Liquidated Damages</w:t>
            <w:tab/>
          </w:r>
          <w:hyperlink w:anchor="__RefHeading___Toc492878628">
            <w:r>
              <w:rPr>
                <w:rStyle w:val="IndexLink"/>
              </w:rPr>
              <w:t>13</w:t>
            </w:r>
          </w:hyperlink>
        </w:p>
        <w:p>
          <w:pPr>
            <w:pStyle w:val="TOC2"/>
            <w:rPr/>
          </w:pPr>
          <w:r>
            <w:rPr/>
            <w:t>4.8</w:t>
            <w:tab/>
            <w:t>Buyer's Failure</w:t>
            <w:tab/>
          </w:r>
          <w:hyperlink w:anchor="__RefHeading___Toc492878629">
            <w:r>
              <w:rPr>
                <w:rStyle w:val="IndexLink"/>
              </w:rPr>
              <w:t>13</w:t>
            </w:r>
          </w:hyperlink>
        </w:p>
        <w:p>
          <w:pPr>
            <w:pStyle w:val="TOC2"/>
            <w:rPr/>
          </w:pPr>
          <w:r>
            <w:rPr/>
            <w:t>4.9</w:t>
            <w:tab/>
            <w:t>Acknowledgment of Parties</w:t>
            <w:tab/>
          </w:r>
          <w:hyperlink w:anchor="__RefHeading___Toc492878630">
            <w:r>
              <w:rPr>
                <w:rStyle w:val="IndexLink"/>
              </w:rPr>
              <w:t>14</w:t>
            </w:r>
          </w:hyperlink>
        </w:p>
        <w:p>
          <w:pPr>
            <w:pStyle w:val="TOC1"/>
            <w:rPr>
              <w:lang w:val="en-CA" w:eastAsia="en-CA"/>
            </w:rPr>
          </w:pPr>
          <w:r>
            <w:rPr>
              <w:lang w:val="en-CA" w:eastAsia="en-CA"/>
            </w:rPr>
            <w:t>ARTICLE 5  DELIVERY POINTS; OBLIGATIONS OF THE PARTIES; TITLE</w:t>
            <w:tab/>
          </w:r>
          <w:hyperlink w:anchor="__RefHeading___Toc492878631">
            <w:r>
              <w:rPr>
                <w:rStyle w:val="IndexLink"/>
                <w:lang w:val="en-CA" w:eastAsia="en-CA"/>
              </w:rPr>
              <w:t>14</w:t>
            </w:r>
          </w:hyperlink>
        </w:p>
        <w:p>
          <w:pPr>
            <w:pStyle w:val="TOC2"/>
            <w:rPr/>
          </w:pPr>
          <w:r>
            <w:rPr/>
            <w:t>5.1</w:t>
            <w:tab/>
            <w:t>Delivery Point</w:t>
            <w:tab/>
          </w:r>
          <w:hyperlink w:anchor="__RefHeading___Toc492878632">
            <w:r>
              <w:rPr>
                <w:rStyle w:val="IndexLink"/>
              </w:rPr>
              <w:t>14</w:t>
            </w:r>
          </w:hyperlink>
        </w:p>
        <w:p>
          <w:pPr>
            <w:pStyle w:val="TOC2"/>
            <w:rPr/>
          </w:pPr>
          <w:r>
            <w:rPr/>
            <w:t>5.2</w:t>
            <w:tab/>
            <w:t>Further Obligations of the Parties</w:t>
            <w:tab/>
          </w:r>
          <w:hyperlink w:anchor="__RefHeading___Toc492878633">
            <w:r>
              <w:rPr>
                <w:rStyle w:val="IndexLink"/>
              </w:rPr>
              <w:t>15</w:t>
            </w:r>
          </w:hyperlink>
        </w:p>
        <w:p>
          <w:pPr>
            <w:pStyle w:val="TOC2"/>
            <w:rPr/>
          </w:pPr>
          <w:r>
            <w:rPr/>
            <w:t>5.3</w:t>
            <w:tab/>
            <w:t>Title; Risk of Loss; and Indemnity</w:t>
            <w:tab/>
          </w:r>
          <w:hyperlink w:anchor="__RefHeading___Toc492878634">
            <w:r>
              <w:rPr>
                <w:rStyle w:val="IndexLink"/>
              </w:rPr>
              <w:t>15</w:t>
            </w:r>
          </w:hyperlink>
        </w:p>
        <w:p>
          <w:pPr>
            <w:pStyle w:val="TOC2"/>
            <w:rPr/>
          </w:pPr>
          <w:r>
            <w:rPr/>
            <w:t>5.4</w:t>
            <w:tab/>
            <w:t>Fuel Oil</w:t>
            <w:tab/>
          </w:r>
          <w:hyperlink w:anchor="__RefHeading___Toc492878635">
            <w:r>
              <w:rPr>
                <w:rStyle w:val="IndexLink"/>
              </w:rPr>
              <w:t>15</w:t>
            </w:r>
          </w:hyperlink>
        </w:p>
        <w:p>
          <w:pPr>
            <w:pStyle w:val="TOC1"/>
            <w:rPr>
              <w:lang w:val="en-CA" w:eastAsia="en-CA"/>
            </w:rPr>
          </w:pPr>
          <w:r>
            <w:rPr>
              <w:lang w:val="en-CA" w:eastAsia="en-CA"/>
            </w:rPr>
            <w:t>ARTICLE 6  REPRESENTATIONS AND WARRANTIES</w:t>
            <w:tab/>
          </w:r>
          <w:hyperlink w:anchor="__RefHeading___Toc492878636">
            <w:r>
              <w:rPr>
                <w:rStyle w:val="IndexLink"/>
                <w:lang w:val="en-CA" w:eastAsia="en-CA"/>
              </w:rPr>
              <w:t>15</w:t>
            </w:r>
          </w:hyperlink>
        </w:p>
        <w:p>
          <w:pPr>
            <w:pStyle w:val="TOC2"/>
            <w:rPr/>
          </w:pPr>
          <w:r>
            <w:rPr/>
            <w:t>6.1</w:t>
            <w:tab/>
            <w:t>Representations and Warranties</w:t>
            <w:tab/>
          </w:r>
          <w:hyperlink w:anchor="__RefHeading___Toc492878637">
            <w:r>
              <w:rPr>
                <w:rStyle w:val="IndexLink"/>
              </w:rPr>
              <w:t>15</w:t>
            </w:r>
          </w:hyperlink>
        </w:p>
        <w:p>
          <w:pPr>
            <w:pStyle w:val="TOC2"/>
            <w:rPr/>
          </w:pPr>
          <w:r>
            <w:rPr/>
            <w:t>6.2</w:t>
            <w:tab/>
            <w:t>No Other Representations and Warranties</w:t>
            <w:tab/>
          </w:r>
          <w:hyperlink w:anchor="__RefHeading___Toc492878638">
            <w:r>
              <w:rPr>
                <w:rStyle w:val="IndexLink"/>
              </w:rPr>
              <w:t>16</w:t>
            </w:r>
          </w:hyperlink>
        </w:p>
        <w:p>
          <w:pPr>
            <w:pStyle w:val="TOC2"/>
            <w:rPr/>
          </w:pPr>
          <w:r>
            <w:rPr/>
            <w:t>6.3</w:t>
            <w:tab/>
            <w:t>Remaking of Representations and Warranties</w:t>
            <w:tab/>
          </w:r>
          <w:hyperlink w:anchor="__RefHeading___Toc492878639">
            <w:r>
              <w:rPr>
                <w:rStyle w:val="IndexLink"/>
              </w:rPr>
              <w:t>16</w:t>
            </w:r>
          </w:hyperlink>
        </w:p>
        <w:p>
          <w:pPr>
            <w:pStyle w:val="TOC1"/>
            <w:rPr>
              <w:lang w:val="en-CA" w:eastAsia="en-CA"/>
            </w:rPr>
          </w:pPr>
          <w:r>
            <w:rPr>
              <w:lang w:val="en-CA" w:eastAsia="en-CA"/>
            </w:rPr>
            <w:t>ARTICLE 7  EVENTS OF DEFAULT AND REMEDIES</w:t>
            <w:tab/>
          </w:r>
          <w:hyperlink w:anchor="__RefHeading___Toc492878640">
            <w:r>
              <w:rPr>
                <w:rStyle w:val="IndexLink"/>
                <w:lang w:val="en-CA" w:eastAsia="en-CA"/>
              </w:rPr>
              <w:t>16</w:t>
            </w:r>
          </w:hyperlink>
        </w:p>
        <w:p>
          <w:pPr>
            <w:pStyle w:val="TOC2"/>
            <w:rPr/>
          </w:pPr>
          <w:r>
            <w:rPr/>
            <w:t>7.1</w:t>
            <w:tab/>
            <w:t>Event of Default</w:t>
            <w:tab/>
          </w:r>
          <w:hyperlink w:anchor="__RefHeading___Toc492878641">
            <w:r>
              <w:rPr>
                <w:rStyle w:val="IndexLink"/>
              </w:rPr>
              <w:t>16</w:t>
            </w:r>
          </w:hyperlink>
        </w:p>
        <w:p>
          <w:pPr>
            <w:pStyle w:val="TOC2"/>
            <w:rPr/>
          </w:pPr>
          <w:r>
            <w:rPr/>
            <w:t>7.2</w:t>
            <w:tab/>
            <w:t>Remedies Upon an Event of Default</w:t>
            <w:tab/>
          </w:r>
          <w:hyperlink w:anchor="__RefHeading___Toc492878642">
            <w:r>
              <w:rPr>
                <w:rStyle w:val="IndexLink"/>
              </w:rPr>
              <w:t>17</w:t>
            </w:r>
          </w:hyperlink>
        </w:p>
        <w:p>
          <w:pPr>
            <w:pStyle w:val="TOC2"/>
            <w:rPr/>
          </w:pPr>
          <w:r>
            <w:rPr/>
            <w:t>7.3</w:t>
            <w:tab/>
            <w:t>Limitation of Remedies, Liability and Damages</w:t>
            <w:tab/>
          </w:r>
          <w:hyperlink w:anchor="__RefHeading___Toc492878643">
            <w:r>
              <w:rPr>
                <w:rStyle w:val="IndexLink"/>
              </w:rPr>
              <w:t>17</w:t>
            </w:r>
          </w:hyperlink>
        </w:p>
        <w:p>
          <w:pPr>
            <w:pStyle w:val="TOC2"/>
            <w:rPr/>
          </w:pPr>
          <w:r>
            <w:rPr/>
            <w:t>7.4</w:t>
            <w:tab/>
            <w:t>Duty to Mitigate</w:t>
            <w:tab/>
          </w:r>
          <w:hyperlink w:anchor="__RefHeading___Toc492878644">
            <w:r>
              <w:rPr>
                <w:rStyle w:val="IndexLink"/>
              </w:rPr>
              <w:t>18</w:t>
            </w:r>
          </w:hyperlink>
        </w:p>
        <w:p>
          <w:pPr>
            <w:pStyle w:val="TOC2"/>
            <w:rPr/>
          </w:pPr>
          <w:r>
            <w:rPr/>
            <w:t>7.5</w:t>
            <w:tab/>
            <w:t>Seller's Negation</w:t>
            <w:tab/>
          </w:r>
          <w:hyperlink w:anchor="__RefHeading___Toc492878645">
            <w:r>
              <w:rPr>
                <w:rStyle w:val="IndexLink"/>
              </w:rPr>
              <w:t>18</w:t>
            </w:r>
          </w:hyperlink>
        </w:p>
        <w:p>
          <w:pPr>
            <w:pStyle w:val="TOC1"/>
            <w:rPr>
              <w:lang w:val="en-CA" w:eastAsia="en-CA"/>
            </w:rPr>
          </w:pPr>
          <w:r>
            <w:rPr>
              <w:lang w:val="en-CA" w:eastAsia="en-CA"/>
            </w:rPr>
            <w:t>ARTICLE 8  BILLING AND PAYMENT</w:t>
            <w:tab/>
          </w:r>
          <w:hyperlink w:anchor="__RefHeading___Toc492878646">
            <w:r>
              <w:rPr>
                <w:rStyle w:val="IndexLink"/>
                <w:lang w:val="en-CA" w:eastAsia="en-CA"/>
              </w:rPr>
              <w:t>18</w:t>
            </w:r>
          </w:hyperlink>
        </w:p>
        <w:p>
          <w:pPr>
            <w:pStyle w:val="TOC2"/>
            <w:rPr/>
          </w:pPr>
          <w:r>
            <w:rPr/>
            <w:t>8.1</w:t>
            <w:tab/>
            <w:t>Billing and Payment</w:t>
            <w:tab/>
          </w:r>
          <w:hyperlink w:anchor="__RefHeading___Toc492878647">
            <w:r>
              <w:rPr>
                <w:rStyle w:val="IndexLink"/>
              </w:rPr>
              <w:t>18</w:t>
            </w:r>
          </w:hyperlink>
        </w:p>
        <w:p>
          <w:pPr>
            <w:pStyle w:val="TOC2"/>
            <w:rPr/>
          </w:pPr>
          <w:r>
            <w:rPr/>
            <w:t>8.2</w:t>
            <w:tab/>
            <w:t>Setoff</w:t>
            <w:tab/>
          </w:r>
          <w:hyperlink w:anchor="__RefHeading___Toc492878648">
            <w:r>
              <w:rPr>
                <w:rStyle w:val="IndexLink"/>
              </w:rPr>
              <w:t>19</w:t>
            </w:r>
          </w:hyperlink>
        </w:p>
        <w:p>
          <w:pPr>
            <w:pStyle w:val="TOC2"/>
            <w:rPr/>
          </w:pPr>
          <w:r>
            <w:rPr/>
            <w:t>8.3</w:t>
            <w:tab/>
            <w:t>Audit</w:t>
            <w:tab/>
          </w:r>
          <w:hyperlink w:anchor="__RefHeading___Toc492878649">
            <w:r>
              <w:rPr>
                <w:rStyle w:val="IndexLink"/>
              </w:rPr>
              <w:t>19</w:t>
            </w:r>
          </w:hyperlink>
        </w:p>
        <w:p>
          <w:pPr>
            <w:pStyle w:val="TOC1"/>
            <w:rPr>
              <w:lang w:val="en-CA" w:eastAsia="en-CA"/>
            </w:rPr>
          </w:pPr>
          <w:r>
            <w:rPr>
              <w:lang w:val="en-CA" w:eastAsia="en-CA"/>
            </w:rPr>
            <w:t>ARTICLE 9  ASSIGNMENT; BINDING EFFECT</w:t>
            <w:tab/>
          </w:r>
          <w:hyperlink w:anchor="__RefHeading___Toc492878650">
            <w:r>
              <w:rPr>
                <w:rStyle w:val="IndexLink"/>
                <w:lang w:val="en-CA" w:eastAsia="en-CA"/>
              </w:rPr>
              <w:t>19</w:t>
            </w:r>
          </w:hyperlink>
        </w:p>
        <w:p>
          <w:pPr>
            <w:pStyle w:val="TOC2"/>
            <w:rPr/>
          </w:pPr>
          <w:r>
            <w:rPr/>
            <w:t>9.1</w:t>
            <w:tab/>
            <w:t>Assignment</w:t>
            <w:tab/>
          </w:r>
          <w:hyperlink w:anchor="__RefHeading___Toc492878651">
            <w:r>
              <w:rPr>
                <w:rStyle w:val="IndexLink"/>
              </w:rPr>
              <w:t>19</w:t>
            </w:r>
          </w:hyperlink>
        </w:p>
        <w:p>
          <w:pPr>
            <w:pStyle w:val="TOC2"/>
            <w:rPr/>
          </w:pPr>
          <w:r>
            <w:rPr/>
            <w:t>9.2</w:t>
            <w:tab/>
            <w:t>Binding Effect</w:t>
            <w:tab/>
          </w:r>
          <w:hyperlink w:anchor="__RefHeading___Toc492878652">
            <w:r>
              <w:rPr>
                <w:rStyle w:val="IndexLink"/>
              </w:rPr>
              <w:t>20</w:t>
            </w:r>
          </w:hyperlink>
        </w:p>
        <w:p>
          <w:pPr>
            <w:pStyle w:val="TOC1"/>
            <w:rPr>
              <w:lang w:val="en-CA" w:eastAsia="en-CA"/>
            </w:rPr>
          </w:pPr>
          <w:r>
            <w:rPr>
              <w:lang w:val="en-CA" w:eastAsia="en-CA"/>
            </w:rPr>
            <w:t>ARTICLE 10  FORCE MAJEURE</w:t>
            <w:tab/>
          </w:r>
          <w:hyperlink w:anchor="__RefHeading___Toc492878653">
            <w:r>
              <w:rPr>
                <w:rStyle w:val="IndexLink"/>
                <w:lang w:val="en-CA" w:eastAsia="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92878654">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92878655">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92878656">
            <w:r>
              <w:rPr>
                <w:rStyle w:val="IndexLink"/>
              </w:rPr>
              <w:t>21</w:t>
            </w:r>
          </w:hyperlink>
        </w:p>
        <w:p>
          <w:pPr>
            <w:pStyle w:val="TOC2"/>
            <w:tabs>
              <w:tab w:val="clear" w:pos="900"/>
              <w:tab w:val="left" w:pos="660" w:leader="none"/>
              <w:tab w:val="left" w:pos="880" w:leader="none"/>
              <w:tab w:val="right" w:pos="9350" w:leader="dot"/>
            </w:tabs>
            <w:rPr/>
          </w:pPr>
          <w:r>
            <w:rPr/>
            <w:t>10.4</w:t>
            <w:tab/>
            <w:t>Other Events</w:t>
            <w:tab/>
          </w:r>
          <w:hyperlink w:anchor="__RefHeading___Toc492878657">
            <w:r>
              <w:rPr>
                <w:rStyle w:val="IndexLink"/>
              </w:rPr>
              <w:t>21</w:t>
            </w:r>
          </w:hyperlink>
        </w:p>
        <w:p>
          <w:pPr>
            <w:pStyle w:val="TOC1"/>
            <w:rPr>
              <w:lang w:val="en-CA" w:eastAsia="en-CA"/>
            </w:rPr>
          </w:pPr>
          <w:r>
            <w:rPr>
              <w:lang w:val="en-CA" w:eastAsia="en-CA"/>
            </w:rPr>
            <w:t>ARTICLE 11  TAXES; STRANDED COSTS</w:t>
            <w:tab/>
          </w:r>
          <w:hyperlink w:anchor="__RefHeading___Toc492878658">
            <w:r>
              <w:rPr>
                <w:rStyle w:val="IndexLink"/>
                <w:lang w:val="en-CA" w:eastAsia="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92878659">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92878660">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92878661">
            <w:r>
              <w:rPr>
                <w:rStyle w:val="IndexLink"/>
              </w:rPr>
              <w:t>22</w:t>
            </w:r>
          </w:hyperlink>
        </w:p>
        <w:p>
          <w:pPr>
            <w:pStyle w:val="TOC1"/>
            <w:rPr>
              <w:lang w:val="en-CA" w:eastAsia="en-CA"/>
            </w:rPr>
          </w:pPr>
          <w:r>
            <w:rPr>
              <w:lang w:val="en-CA" w:eastAsia="en-CA"/>
            </w:rPr>
            <w:t>ARTICLE 12  CONFIDENTIALITY</w:t>
            <w:tab/>
          </w:r>
          <w:hyperlink w:anchor="__RefHeading___Toc492878662">
            <w:r>
              <w:rPr>
                <w:rStyle w:val="IndexLink"/>
                <w:lang w:val="en-CA" w:eastAsia="en-CA"/>
              </w:rPr>
              <w:t>22</w:t>
            </w:r>
          </w:hyperlink>
        </w:p>
        <w:p>
          <w:pPr>
            <w:pStyle w:val="TOC2"/>
            <w:tabs>
              <w:tab w:val="clear" w:pos="900"/>
              <w:tab w:val="left" w:pos="660" w:leader="none"/>
              <w:tab w:val="left" w:pos="880" w:leader="none"/>
              <w:tab w:val="right" w:pos="9350" w:leader="dot"/>
            </w:tabs>
            <w:rPr/>
          </w:pPr>
          <w:r>
            <w:rPr/>
            <w:t>12.1</w:t>
            <w:tab/>
            <w:t>Confidentiality</w:t>
            <w:tab/>
          </w:r>
          <w:hyperlink w:anchor="__RefHeading___Toc492878663">
            <w:r>
              <w:rPr>
                <w:rStyle w:val="IndexLink"/>
              </w:rPr>
              <w:t>22</w:t>
            </w:r>
          </w:hyperlink>
        </w:p>
        <w:p>
          <w:pPr>
            <w:pStyle w:val="TOC1"/>
            <w:rPr>
              <w:lang w:val="en-CA" w:eastAsia="en-CA"/>
            </w:rPr>
          </w:pPr>
          <w:r>
            <w:rPr>
              <w:lang w:val="en-CA" w:eastAsia="en-CA"/>
            </w:rPr>
            <w:t>ARTICLE 13  NOTICES</w:t>
            <w:tab/>
          </w:r>
          <w:hyperlink w:anchor="__RefHeading___Toc492878664">
            <w:r>
              <w:rPr>
                <w:rStyle w:val="IndexLink"/>
                <w:lang w:val="en-CA" w:eastAsia="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92878665">
            <w:r>
              <w:rPr>
                <w:rStyle w:val="IndexLink"/>
              </w:rPr>
              <w:t>22</w:t>
            </w:r>
          </w:hyperlink>
        </w:p>
        <w:p>
          <w:pPr>
            <w:pStyle w:val="TOC1"/>
            <w:rPr>
              <w:lang w:val="en-CA" w:eastAsia="en-CA"/>
            </w:rPr>
          </w:pPr>
          <w:r>
            <w:rPr>
              <w:lang w:val="en-CA" w:eastAsia="en-CA"/>
            </w:rPr>
            <w:t>ARTICLE 14 DISPUTE RESOLUTION</w:t>
            <w:tab/>
          </w:r>
          <w:hyperlink w:anchor="__RefHeading___Toc492878666">
            <w:r>
              <w:rPr>
                <w:rStyle w:val="IndexLink"/>
                <w:lang w:val="en-CA" w:eastAsia="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878667">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878668">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878669">
            <w:r>
              <w:rPr>
                <w:rStyle w:val="IndexLink"/>
              </w:rPr>
              <w:t>23</w:t>
            </w:r>
          </w:hyperlink>
        </w:p>
        <w:p>
          <w:pPr>
            <w:pStyle w:val="TOC1"/>
            <w:rPr>
              <w:lang w:val="en-CA" w:eastAsia="en-CA"/>
            </w:rPr>
          </w:pPr>
          <w:r>
            <w:rPr>
              <w:lang w:val="en-CA" w:eastAsia="en-CA"/>
            </w:rPr>
            <w:t>ARTICLE 15  MISCELLANEOUS</w:t>
            <w:tab/>
          </w:r>
          <w:hyperlink w:anchor="__RefHeading___Toc492878670">
            <w:r>
              <w:rPr>
                <w:rStyle w:val="IndexLink"/>
                <w:lang w:val="en-CA" w:eastAsia="en-CA"/>
              </w:rPr>
              <w:t>24</w:t>
            </w:r>
          </w:hyperlink>
        </w:p>
        <w:p>
          <w:pPr>
            <w:pStyle w:val="TOC2"/>
            <w:tabs>
              <w:tab w:val="clear" w:pos="900"/>
              <w:tab w:val="left" w:pos="660" w:leader="none"/>
              <w:tab w:val="left" w:pos="880" w:leader="none"/>
              <w:tab w:val="right" w:pos="9350" w:leader="dot"/>
            </w:tabs>
            <w:rPr/>
          </w:pPr>
          <w:r>
            <w:rPr/>
            <w:t>15.1</w:t>
            <w:tab/>
            <w:t>Entirety</w:t>
            <w:tab/>
          </w:r>
          <w:hyperlink w:anchor="__RefHeading___Toc492878671">
            <w:r>
              <w:rPr>
                <w:rStyle w:val="IndexLink"/>
              </w:rPr>
              <w:t>24</w:t>
            </w:r>
          </w:hyperlink>
        </w:p>
        <w:p>
          <w:pPr>
            <w:pStyle w:val="TOC2"/>
            <w:tabs>
              <w:tab w:val="clear" w:pos="900"/>
              <w:tab w:val="left" w:pos="660" w:leader="none"/>
              <w:tab w:val="left" w:pos="880" w:leader="none"/>
              <w:tab w:val="right" w:pos="9350" w:leader="dot"/>
            </w:tabs>
            <w:rPr/>
          </w:pPr>
          <w:r>
            <w:rPr/>
            <w:t>15.2</w:t>
            <w:tab/>
            <w:t>Governing Law</w:t>
            <w:tab/>
          </w:r>
          <w:hyperlink w:anchor="__RefHeading___Toc492878672">
            <w:r>
              <w:rPr>
                <w:rStyle w:val="IndexLink"/>
              </w:rPr>
              <w:t>24</w:t>
            </w:r>
          </w:hyperlink>
        </w:p>
        <w:p>
          <w:pPr>
            <w:pStyle w:val="TOC2"/>
            <w:tabs>
              <w:tab w:val="clear" w:pos="900"/>
              <w:tab w:val="left" w:pos="660" w:leader="none"/>
              <w:tab w:val="left" w:pos="880" w:leader="none"/>
              <w:tab w:val="right" w:pos="9350" w:leader="dot"/>
            </w:tabs>
            <w:rPr/>
          </w:pPr>
          <w:r>
            <w:rPr/>
            <w:t>15.3</w:t>
            <w:tab/>
            <w:t>Non-Waiver</w:t>
            <w:tab/>
          </w:r>
          <w:hyperlink w:anchor="__RefHeading___Toc492878673">
            <w:r>
              <w:rPr>
                <w:rStyle w:val="IndexLink"/>
              </w:rPr>
              <w:t>24</w:t>
            </w:r>
          </w:hyperlink>
        </w:p>
        <w:p>
          <w:pPr>
            <w:pStyle w:val="TOC2"/>
            <w:tabs>
              <w:tab w:val="clear" w:pos="900"/>
              <w:tab w:val="left" w:pos="660" w:leader="none"/>
              <w:tab w:val="left" w:pos="880" w:leader="none"/>
              <w:tab w:val="right" w:pos="9350" w:leader="dot"/>
            </w:tabs>
            <w:rPr/>
          </w:pPr>
          <w:r>
            <w:rPr/>
            <w:t>15.4</w:t>
            <w:tab/>
            <w:t>Severability</w:t>
            <w:tab/>
          </w:r>
          <w:hyperlink w:anchor="__RefHeading___Toc492878674">
            <w:r>
              <w:rPr>
                <w:rStyle w:val="IndexLink"/>
              </w:rPr>
              <w:t>24</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92878675">
            <w:r>
              <w:rPr>
                <w:rStyle w:val="IndexLink"/>
              </w:rPr>
              <w:t>24</w:t>
            </w:r>
          </w:hyperlink>
        </w:p>
        <w:p>
          <w:pPr>
            <w:pStyle w:val="TOC2"/>
            <w:tabs>
              <w:tab w:val="clear" w:pos="900"/>
              <w:tab w:val="left" w:pos="660" w:leader="none"/>
              <w:tab w:val="left" w:pos="880" w:leader="none"/>
              <w:tab w:val="right" w:pos="9350" w:leader="dot"/>
            </w:tabs>
            <w:rPr/>
          </w:pPr>
          <w:r>
            <w:rPr/>
            <w:t>15.6</w:t>
            <w:tab/>
            <w:t>Survival</w:t>
            <w:tab/>
          </w:r>
          <w:hyperlink w:anchor="__RefHeading___Toc492878676">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92878677">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92878678">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92878608"/>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in this Agreement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in this Agreement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92878609"/>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92878610"/>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12:00 midnight. </w:t>
      </w:r>
    </w:p>
    <w:p>
      <w:pPr>
        <w:pStyle w:val="Justified"/>
        <w:ind w:firstLine="720" w:start="720" w:end="0"/>
        <w:rPr>
          <w:sz w:val="24"/>
        </w:rPr>
      </w:pPr>
      <w:r>
        <w:rPr>
          <w:sz w:val="24"/>
        </w:rPr>
        <w:t>"Day-Ahead Schedule Notice" shall have the meaning set forth in Section 3.4(b).</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"Facility Substation" shall mean the substation located adjacent to the Facility to which the Facility will be interconnected to Buyer’s transmission system serving the Facility.  The Facility Substation shall include a revenue meter owned and maintained by Buyer.</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Heading2"/>
        <w:ind w:hanging="720" w:start="720" w:end="0"/>
        <w:rPr/>
      </w:pPr>
      <w:r>
        <w:rPr/>
        <w:tab/>
        <w:tab/>
      </w:r>
      <w:r>
        <w:rPr>
          <w:sz w:val="24"/>
        </w:rPr>
        <w:t>"Interconnection Agreement" shall mean the Generator Interconnection and Operating Agreement to be entered into between Buyer and Seller.</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Energy Scheduled but not received by Buyer (less any additional transmission charges or other expenses, if any, incurred by Seller to resell the Energy).</w:t>
      </w:r>
    </w:p>
    <w:p>
      <w:pPr>
        <w:pStyle w:val="Justified"/>
        <w:ind w:firstLine="720" w:start="720" w:end="0"/>
        <w:rPr>
          <w:sz w:val="24"/>
        </w:rPr>
      </w:pPr>
      <w:r>
        <w:rPr>
          <w:sz w:val="24"/>
        </w:rPr>
        <w:t>"Schedule" shall mean the schedule for the Blocks of Energy to be delivered Hourly on any given Day or Days during the Delivery Term.</w:t>
      </w:r>
    </w:p>
    <w:p>
      <w:pPr>
        <w:pStyle w:val="Heading2"/>
        <w:ind w:firstLine="720" w:start="720" w:end="0"/>
        <w:rPr>
          <w:sz w:val="24"/>
        </w:rPr>
      </w:pPr>
      <w:r>
        <w:rPr>
          <w:sz w:val="24"/>
        </w:rPr>
        <w:t>“</w:t>
      </w:r>
      <w:r>
        <w:rPr>
          <w:sz w:val="24"/>
        </w:rPr>
        <w:t>Scheduled” shall mean the actions taken by Buyer and/or its designated representatives in accordance with Section 3.4 to notify Seller of Buyer’s requested schedule for Energy to be delivered by Seller.</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tax, duty, impost and levy of any nature (whether state, local or federal) whatsoever and wherever charged, levied or imposed, together with any interest and penalties in relation thereto].</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92878611"/>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in this Agreement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92878612"/>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92878613"/>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8"/>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8"/>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8"/>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5"/>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92878614"/>
      <w:bookmarkEnd w:id="6"/>
      <w:r>
        <w:rPr>
          <w:sz w:val="24"/>
        </w:rPr>
        <w:t>.  The purchase and sale of Capacity and Energy shall commence June 1, 2001 (the "Commencement Date"), regardless of whether the Facility is commercially operable at that time, and shall continue through [August 31,] 2004, unless extended by mutual agreement of the Parties.</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92878615"/>
      <w:bookmarkEnd w:id="7"/>
      <w:r>
        <w:rPr>
          <w:sz w:val="24"/>
        </w:rPr>
        <w:t>.</w:t>
      </w:r>
    </w:p>
    <w:p>
      <w:pPr>
        <w:pStyle w:val="Normal"/>
        <w:ind w:firstLine="720" w:start="720" w:end="0"/>
        <w:jc w:val="both"/>
        <w:rPr>
          <w:sz w:val="24"/>
        </w:rPr>
      </w:pPr>
      <w:r>
        <w:rPr>
          <w:sz w:val="24"/>
        </w:rPr>
      </w:r>
    </w:p>
    <w:p>
      <w:pPr>
        <w:pStyle w:val="Normal"/>
        <w:numPr>
          <w:ilvl w:val="0"/>
          <w:numId w:val="5"/>
        </w:numPr>
        <w:ind w:firstLine="720" w:start="720" w:end="0"/>
        <w:jc w:val="both"/>
        <w:rPr>
          <w:sz w:val="24"/>
        </w:rPr>
      </w:pPr>
      <w:r>
        <w:rPr>
          <w:sz w:val="24"/>
        </w:rPr>
        <w:t xml:space="preserve">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Normal"/>
        <w:ind w:start="1440" w:end="0"/>
        <w:jc w:val="both"/>
        <w:rPr>
          <w:sz w:val="24"/>
        </w:rPr>
      </w:pPr>
      <w:r>
        <w:rPr>
          <w:sz w:val="24"/>
        </w:rPr>
      </w:r>
    </w:p>
    <w:p>
      <w:pPr>
        <w:pStyle w:val="Normal"/>
        <w:numPr>
          <w:ilvl w:val="0"/>
          <w:numId w:val="14"/>
        </w:numPr>
        <w:ind w:firstLine="720" w:start="720" w:end="0"/>
        <w:jc w:val="both"/>
        <w:rPr>
          <w:sz w:val="24"/>
        </w:rPr>
      </w:pPr>
      <w:r>
        <w:rPr>
          <w:sz w:val="24"/>
        </w:rPr>
        <w:t xml:space="preserve"> </w:t>
      </w:r>
      <w:r>
        <w:rPr>
          <w:sz w:val="24"/>
        </w:rPr>
        <w:t>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p>
    <w:p>
      <w:pPr>
        <w:pStyle w:val="Heading1"/>
        <w:ind w:firstLine="108" w:start="180" w:end="0"/>
        <w:rPr>
          <w:sz w:val="24"/>
        </w:rPr>
      </w:pPr>
      <w:r>
        <w:rPr>
          <w:sz w:val="24"/>
        </w:rPr>
        <w:t>ARTICLE 3</w:t>
        <w:br/>
        <w:t>QUANTITY; SCHEDULING</w:t>
      </w:r>
      <w:r>
        <w:fldChar w:fldCharType="begin"/>
      </w:r>
      <w:r>
        <w:rPr/>
        <w:instrText xml:space="preserve"> TC "ARTICLE 3  QUANTITY; SCHEDULING" \l 1 </w:instrText>
      </w:r>
      <w:r>
        <w:rPr/>
        <w:fldChar w:fldCharType="separate"/>
      </w:r>
      <w:r>
        <w:rPr/>
      </w:r>
      <w:r>
        <w:rPr/>
        <w:fldChar w:fldCharType="end"/>
      </w:r>
      <w:bookmarkStart w:id="8" w:name="__RefHeading___Toc492878616"/>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92878617"/>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Buyer’s reasonable satisfaction that Seller has under contract or otherwise available to it capacity equal to 210 MW that Buyer may claim for meeting its reported capability requirements.  </w:t>
      </w:r>
    </w:p>
    <w:p>
      <w:pPr>
        <w:pStyle w:val="Heading2"/>
        <w:numPr>
          <w:ilvl w:val="0"/>
          <w:numId w:val="16"/>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Operating Year provided that during the last Operating Year this shall be limited to [700] hours.</w:t>
      </w:r>
    </w:p>
    <w:p>
      <w:pPr>
        <w:pStyle w:val="Heading2"/>
        <w:numPr>
          <w:ilvl w:val="0"/>
          <w:numId w:val="16"/>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92878618"/>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92878619"/>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in this Agreement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[as soon as practicable following notice from Buyer that the supply has been interrupted],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The time period between when Seller receives notice [from Buyer] and Seller commences Delivery (as referenced in the preceding sentence) shall be included in the FOR calculation.  In addition, Buyer shall have the right to terminate this Agreement in the event that Seller fails to comply with its obligations under this Section 3.3(b).</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92878620"/>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7"/>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Block(s) and Hour(s)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7"/>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Sheduled per the Day-Ahead Schedule Notice, Seller shall, at its sole discretion determine whether to dispatch the Facility or provide Energy from Market Sources.  Seller shall use commercially reasonable efforts to accommodate Buyer’s Intra-Day Schedule Notice but if Seller is unable to do so, such Hours shall not be included as Energy Scheduled for the purpose of determining the Forced Outage Rate.  Buyer shall be liable to Seller for all additional costs (whether direct or indirect), if any, incurred by Seller to accommodate Buyer’s 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in this Section 3.4(c).</w:t>
      </w:r>
    </w:p>
    <w:p>
      <w:pPr>
        <w:pStyle w:val="Heading2"/>
        <w:numPr>
          <w:ilvl w:val="0"/>
          <w:numId w:val="12"/>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the expiration of each Schedule before Seller can be required to Start-Up the Facility. Seller shall not be required to Start-Up the Facility during any Planned Maintenance Period. </w:t>
      </w:r>
    </w:p>
    <w:p>
      <w:pPr>
        <w:pStyle w:val="Heading2"/>
        <w:numPr>
          <w:ilvl w:val="0"/>
          <w:numId w:val="12"/>
        </w:numPr>
        <w:ind w:firstLine="720" w:start="720" w:end="0"/>
        <w:rPr>
          <w:sz w:val="24"/>
        </w:rPr>
      </w:pPr>
      <w:r>
        <w:rPr>
          <w:b/>
          <w:sz w:val="24"/>
        </w:rPr>
        <w:t xml:space="preserve">Dispatch Limit.  </w:t>
      </w:r>
      <w:r>
        <w:rPr>
          <w:sz w:val="24"/>
        </w:rPr>
        <w:t>Buyer shall be limited to  200 Dispatch Orders per Block per Operating Year (except for the last Operating Year, in which only 80 Dispatch Orders per Block will be allowed);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12"/>
        </w:numPr>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numPr>
          <w:ilvl w:val="0"/>
          <w:numId w:val="12"/>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92878621"/>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92878622"/>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92878623"/>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92878624"/>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92878625"/>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Dispatch Order Charge" \l 2 </w:instrText>
      </w:r>
      <w:r>
        <w:rPr/>
        <w:fldChar w:fldCharType="separate"/>
      </w:r>
      <w:r>
        <w:rPr/>
      </w:r>
      <w:r>
        <w:rPr/>
        <w:fldChar w:fldCharType="end"/>
      </w:r>
      <w:bookmarkStart w:id="18" w:name="__RefHeading___Toc492878626"/>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92878627"/>
      <w:bookmarkEnd w:id="19"/>
      <w:r>
        <w:rPr>
          <w:sz w:val="24"/>
        </w:rPr>
        <w:t xml:space="preserve">.  </w:t>
      </w:r>
    </w:p>
    <w:p>
      <w:pPr>
        <w:pStyle w:val="Heading2"/>
        <w:ind w:firstLine="720" w:start="0" w:end="0"/>
        <w:jc w:val="start"/>
        <w:rPr>
          <w:vanish/>
          <w:color w:val="FF0000"/>
          <w:sz w:val="24"/>
          <w:u w:val="double"/>
        </w:rPr>
      </w:pPr>
      <w:r>
        <w:rPr>
          <w:color w:val="FF0000"/>
          <w:sz w:val="24"/>
        </w:rPr>
        <w:tab/>
      </w:r>
    </w:p>
    <w:p>
      <w:pPr>
        <w:pStyle w:val="BodyText"/>
        <w:numPr>
          <w:ilvl w:val="0"/>
          <w:numId w:val="4"/>
        </w:numPr>
        <w:tabs>
          <w:tab w:val="clear" w:pos="720"/>
        </w:tabs>
        <w:ind w:firstLine="810" w:start="630" w:end="0"/>
        <w:jc w:val="both"/>
        <w:rPr>
          <w:sz w:val="24"/>
        </w:rPr>
      </w:pPr>
      <w:r>
        <w:rPr>
          <w:i w:val="false"/>
          <w:sz w:val="24"/>
        </w:rPr>
        <w:t>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3.3(b) and Section 4.6(d), any liquidated damages calculated pursuant to this Section 4.6 shall be Buyer’s sole and exclusive remedy for Seller's failure to make Contract Capacity available or to deliver Energy as Scheduled during an Operating Year. If, during any Operating Year, Seller's failure to deliver Energy as Scheduled by Buyer equates to a Forced Outage Rate greater than 4.0% but less than or equal to 10.0%,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Operating Year, Seller's failure to deliver Energy as Scheduled by Buyer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 or (18% + ((12.5% - 10%)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Operating Year, Seller's failure to deliver Energy as Scheduled by Buyer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any Operating Year, Seller’s failure to deliver Energy as Scheduled by Buyer equates to a Forced Outage Rate greater than 20.0%, then Seller shall pay Buyer liquidated damages equal to 100% of the Demand Charges payable during the Operating Year. If the Forced Outage Rate exceeds 20.0% in any Operating Year, then, in addition to its entitlement to liquidated damages described in this Section 4.6, Buyer may terminate this Agreement,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(in MWh).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(in MWh). </w:t>
      </w:r>
    </w:p>
    <w:p>
      <w:pPr>
        <w:pStyle w:val="BodyText"/>
        <w:ind w:hanging="720" w:start="2160" w:end="0"/>
        <w:rPr>
          <w:i w:val="false"/>
          <w:i w:val="false"/>
          <w:sz w:val="24"/>
        </w:rPr>
      </w:pPr>
      <w:r>
        <w:rPr>
          <w:i w:val="false"/>
          <w:sz w:val="24"/>
        </w:rPr>
        <w:t>C</w:t>
        <w:tab/>
        <w:t>=</w:t>
        <w:tab/>
        <w:t xml:space="preserve">Energy Scheduled (in MWh);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7"/>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[450] hours (i.e., [94,500] MWh) even if actual Energy Scheduled was less).  In the event that the Scheduled Energy for the Operating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Buyer Scheduled Energy for less than 900 hours during the Operating Year, the Energy Delivered for the purposes of determining A and B above will be adjusted by multiplying the Contract Capacity by the difference between 900 hours and (Buyer Scheduled Energy divided by Contract Capacity).</w:t>
        <w:br/>
        <w:br/>
        <w:t>For example, if the Energy Scheduled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vanish/>
          <w:color w:val="FF0000"/>
        </w:rPr>
      </w:pPr>
      <w:r>
        <w:rPr/>
        <w:t>4.7</w:t>
        <w:tab/>
      </w:r>
      <w:r>
        <w:rPr>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92878628"/>
      <w:bookmarkEnd w:id="20"/>
      <w:r>
        <w:rPr/>
        <w:t xml:space="preserve">.  </w:t>
      </w:r>
    </w:p>
    <w:p>
      <w:pPr>
        <w:pStyle w:val="BodyText"/>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92878629"/>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92878630"/>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numPr>
          <w:ilvl w:val="0"/>
          <w:numId w:val="9"/>
        </w:numPr>
        <w:rPr>
          <w:sz w:val="24"/>
        </w:rPr>
      </w:pPr>
      <w:r>
        <w:rPr>
          <w:sz w:val="24"/>
        </w:rPr>
        <w:t xml:space="preserve">suspend performance until such amounts plus interest at the Interest Rate have been paid, and/or </w:t>
      </w:r>
    </w:p>
    <w:p>
      <w:pPr>
        <w:pStyle w:val="Heading2"/>
        <w:numPr>
          <w:ilvl w:val="0"/>
          <w:numId w:val="9"/>
        </w:numPr>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92878631"/>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 \l 2 </w:instrText>
      </w:r>
      <w:r>
        <w:rPr/>
        <w:fldChar w:fldCharType="separate"/>
      </w:r>
      <w:r>
        <w:rPr/>
      </w:r>
      <w:r>
        <w:rPr/>
        <w:fldChar w:fldCharType="end"/>
      </w:r>
      <w:bookmarkStart w:id="24" w:name="__RefHeading___Toc492878632"/>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92878633"/>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92878634"/>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eastAsia="en-CA"/>
        </w:rPr>
        <w:t>5.4</w:t>
        <w:tab/>
      </w:r>
      <w:r>
        <w:rPr>
          <w:sz w:val="24"/>
          <w:u w:val="single"/>
          <w:lang w:val="en-CA" w:eastAsia="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92878635"/>
      <w:bookmarkEnd w:id="27"/>
      <w:r>
        <w:rPr>
          <w:sz w:val="24"/>
          <w:lang w:val="en-CA" w:eastAsia="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92878636"/>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92878637"/>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92878638"/>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92878639"/>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92878640"/>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92878641"/>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numPr>
          <w:ilvl w:val="0"/>
          <w:numId w:val="13"/>
        </w:numPr>
        <w:tabs>
          <w:tab w:val="clear" w:pos="720"/>
        </w:tabs>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numPr>
          <w:ilvl w:val="0"/>
          <w:numId w:val="13"/>
        </w:numPr>
        <w:rPr>
          <w:sz w:val="24"/>
        </w:rPr>
      </w:pPr>
      <w:r>
        <w:rPr>
          <w:sz w:val="24"/>
        </w:rPr>
        <w:t>otherwise becomes bankrupt or insolvent (however evidenced); or</w:t>
      </w:r>
    </w:p>
    <w:p>
      <w:pPr>
        <w:pStyle w:val="Heading2"/>
        <w:numPr>
          <w:ilvl w:val="0"/>
          <w:numId w:val="8"/>
        </w:numPr>
        <w:ind w:hanging="0" w:start="2160" w:end="0"/>
        <w:rPr>
          <w:sz w:val="24"/>
        </w:rPr>
      </w:pPr>
      <w:r>
        <w:rPr>
          <w:sz w:val="24"/>
        </w:rPr>
        <w:t>is unable to pay its debts as they fall due.</w:t>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92878642"/>
      <w:bookmarkEnd w:id="34"/>
      <w:r>
        <w:rPr>
          <w:sz w:val="24"/>
        </w:rPr>
        <w:t>.  If an Event of Default occurs with respect to a Defaulting Party at any time during the Contract  Term, the Non-Defaulting Party may 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  In addition to the foregoing, Buyer shall have the right to terminate this Agreement for Seller’s default under the circumstances set forth in Section 3.3(b) and Section 4.6(d); provided, however, that upon such termination, Buyer shall be limited to the remedies set forth in Section 3.3(b) and Section 4.6(d), respectively.</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92878643"/>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IN THIS AGREEMENT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92878644"/>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92878645"/>
      <w:bookmarkEnd w:id="37"/>
      <w:r>
        <w:rPr>
          <w:sz w:val="24"/>
        </w:rPr>
        <w:t>.  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92878646"/>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92878647"/>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92878648"/>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92878649"/>
      <w:bookmarkEnd w:id="41"/>
      <w:r>
        <w:rPr>
          <w:sz w:val="24"/>
        </w:rPr>
        <w:t>.</w:t>
      </w:r>
    </w:p>
    <w:p>
      <w:pPr>
        <w:pStyle w:val="Heading2"/>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92878650"/>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92878651"/>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w:t>
      </w:r>
      <w:r>
        <w:rPr>
          <w:i/>
          <w:sz w:val="24"/>
        </w:rPr>
        <w: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92878652"/>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92878653"/>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92878654"/>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10"/>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92878655"/>
      <w:bookmarkEnd w:id="47"/>
      <w:r>
        <w:rPr>
          <w:sz w:val="24"/>
        </w:rPr>
        <w:t xml:space="preserve">.  In the event of a Force Majeure event affecting the delivery of Scheduled Energy from the Facility, the following shall occur:  </w:t>
      </w:r>
    </w:p>
    <w:p>
      <w:pPr>
        <w:pStyle w:val="Heading2"/>
        <w:numPr>
          <w:ilvl w:val="0"/>
          <w:numId w:val="6"/>
        </w:numPr>
        <w:rPr>
          <w:sz w:val="24"/>
        </w:rPr>
      </w:pPr>
      <w:r>
        <w:rPr>
          <w:sz w:val="24"/>
        </w:rPr>
        <w:t>Seller shall as soon as reasonably practicable use commercially reasonable efforts to fulfill its obligations to deliver Scheduled Energy from Market Sources until notice is provided pursuant to Section 10.2(b) below.</w:t>
      </w:r>
    </w:p>
    <w:p>
      <w:pPr>
        <w:pStyle w:val="Heading2"/>
        <w:numPr>
          <w:ilvl w:val="0"/>
          <w:numId w:val="6"/>
        </w:numPr>
        <w:rPr>
          <w:sz w:val="24"/>
        </w:rPr>
      </w:pPr>
      <w:r>
        <w:rPr>
          <w:sz w:val="24"/>
        </w:rPr>
        <w:t xml:space="preserve">Not later than ten (10) Days following the onset of the Force Majeure event,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pendency of Seller’s inability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ind w:hanging="0" w:start="0"/>
        <w:rPr>
          <w:sz w:val="24"/>
        </w:rPr>
      </w:pPr>
      <w:r>
        <w:rPr>
          <w:sz w:val="24"/>
        </w:rPr>
        <w:t>In the event of a Force Majeure affecting Buyer’s ability to receive Energy from Seller, payment of the Demand Charge shall continue.</w:t>
      </w:r>
    </w:p>
    <w:p>
      <w:pPr>
        <w:pStyle w:val="Heading2"/>
        <w:numPr>
          <w:ilvl w:val="1"/>
          <w:numId w:val="10"/>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92878656"/>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92878657"/>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 xml:space="preserve">TAXES; STRANDED COSTS </w:t>
      </w:r>
      <w:r>
        <w:fldChar w:fldCharType="begin"/>
      </w:r>
      <w:r>
        <w:rPr/>
        <w:instrText xml:space="preserve"> TC "ARTICLE 11  TAXES; STRANDED COSTS " \l 1 </w:instrText>
      </w:r>
      <w:r>
        <w:rPr/>
        <w:fldChar w:fldCharType="separate"/>
      </w:r>
      <w:r>
        <w:rPr/>
      </w:r>
      <w:r>
        <w:rPr/>
        <w:fldChar w:fldCharType="end"/>
      </w:r>
      <w:bookmarkStart w:id="50" w:name="__RefHeading___Toc492878658"/>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92878659"/>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92878660"/>
      <w:bookmarkEnd w:id="52"/>
      <w:r>
        <w:rPr>
          <w:sz w:val="24"/>
        </w:rPr>
        <w:t>.  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ind w:firstLine="720" w:end="0"/>
        <w:jc w:val="both"/>
        <w:rPr>
          <w:sz w:val="24"/>
        </w:rPr>
      </w:pPr>
      <w:r>
        <w:rPr>
          <w:sz w:val="24"/>
        </w:rPr>
      </w:r>
    </w:p>
    <w:p>
      <w:pPr>
        <w:pStyle w:val="Normal"/>
        <w:numPr>
          <w:ilvl w:val="0"/>
          <w:numId w:val="11"/>
        </w:numPr>
        <w:jc w:val="both"/>
        <w:rPr>
          <w:sz w:val="24"/>
        </w:rPr>
      </w:pPr>
      <w:r>
        <w:rPr>
          <w:sz w:val="24"/>
        </w:rPr>
        <w:t>Taxes measured by the income of the other Party and</w:t>
      </w:r>
    </w:p>
    <w:p>
      <w:pPr>
        <w:pStyle w:val="Normal"/>
        <w:ind w:start="720" w:end="0"/>
        <w:jc w:val="both"/>
        <w:rPr>
          <w:sz w:val="24"/>
        </w:rPr>
      </w:pPr>
      <w:r>
        <w:rPr>
          <w:sz w:val="24"/>
        </w:rPr>
      </w:r>
    </w:p>
    <w:p>
      <w:pPr>
        <w:pStyle w:val="Normal"/>
        <w:numPr>
          <w:ilvl w:val="0"/>
          <w:numId w:val="11"/>
        </w:numPr>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92878661"/>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92878662"/>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92878663"/>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92878664"/>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92878665"/>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92878666"/>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92878667"/>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92878668"/>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92878669"/>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92878670"/>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92878671"/>
      <w:bookmarkEnd w:id="63"/>
      <w:r>
        <w:rPr>
          <w:sz w:val="24"/>
        </w:rPr>
        <w:t>.  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92878672"/>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92878673"/>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92878674"/>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92878675"/>
      <w:bookmarkEnd w:id="67"/>
      <w:r>
        <w:rPr>
          <w:sz w:val="24"/>
        </w:rPr>
        <w:t>.  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92878676"/>
      <w:bookmarkEnd w:id="68"/>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9" w:name="__RefHeading___Toc492878677"/>
      <w:bookmarkEnd w:id="69"/>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0" w:name="__RefHeading___Toc492878678"/>
      <w:bookmarkEnd w:id="70"/>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 xml:space="preserve">By:  </w:t>
        <w:tab/>
      </w:r>
    </w:p>
    <w:p>
      <w:pPr>
        <w:pStyle w:val="Normal"/>
        <w:tabs>
          <w:tab w:val="clear" w:pos="720"/>
          <w:tab w:val="left" w:pos="1440" w:leader="none"/>
          <w:tab w:val="left" w:pos="9990" w:leader="none"/>
        </w:tabs>
        <w:ind w:start="5040" w:end="0"/>
        <w:rPr>
          <w:sz w:val="24"/>
        </w:rPr>
      </w:pPr>
      <w:r>
        <w:rPr>
          <w:sz w:val="24"/>
        </w:rPr>
        <w:t>Name:  E. Paul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rPr>
          <w:caps/>
          <w:spacing w:val="0"/>
          <w:sz w:val="24"/>
        </w:rPr>
      </w:pPr>
      <w:r>
        <w:rPr>
          <w:caps/>
          <w:spacing w:val="0"/>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Gross Domestic Product-Implicit Price Deflator index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Btu/kWh (LHV)]</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i/>
          <w:i/>
          <w:sz w:val="24"/>
        </w:rPr>
      </w:pPr>
      <w:r>
        <w:rPr>
          <w:i/>
          <w:sz w:val="24"/>
        </w:rPr>
      </w:r>
    </w:p>
    <w:p>
      <w:pPr>
        <w:pStyle w:val="Normal"/>
        <w:jc w:val="center"/>
        <w:rPr>
          <w:b/>
          <w:sz w:val="24"/>
        </w:rPr>
      </w:pPr>
      <w:r>
        <w:rPr>
          <w:b/>
          <w:sz w:val="24"/>
        </w:rPr>
        <w:t>EXHIBIT B</w:t>
      </w:r>
    </w:p>
    <w:p>
      <w:pPr>
        <w:pStyle w:val="Normal"/>
        <w:jc w:val="center"/>
        <w:rPr>
          <w:b/>
          <w:sz w:val="24"/>
        </w:rPr>
      </w:pPr>
      <w:r>
        <w:rPr>
          <w:b/>
          <w:sz w:val="24"/>
        </w:rPr>
      </w:r>
    </w:p>
    <w:p>
      <w:pPr>
        <w:pStyle w:val="Normal"/>
        <w:rPr/>
      </w:pPr>
      <w:r>
        <w:rPr/>
        <w:t>TO SELLER:</w:t>
      </w:r>
    </w:p>
    <w:p>
      <w:pPr>
        <w:pStyle w:val="Normal"/>
        <w:rPr/>
      </w:pPr>
      <w:r>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smallCaps/>
              </w:rPr>
            </w:pPr>
            <w:r>
              <w:rPr>
                <w:smallCaps/>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US Mail:</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Attn:  </w:t>
              <w:tab/>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hand, courier, or fax:</w:t>
            </w:r>
          </w:p>
          <w:p>
            <w:pPr>
              <w:pStyle w:val="Normal"/>
              <w:tabs>
                <w:tab w:val="clear" w:pos="720"/>
                <w:tab w:val="left" w:pos="4770" w:leader="none"/>
              </w:tabs>
              <w:rPr/>
            </w:pPr>
            <w:r>
              <w:rPr/>
            </w:r>
          </w:p>
          <w:p>
            <w:pPr>
              <w:pStyle w:val="Normal"/>
              <w:tabs>
                <w:tab w:val="clear" w:pos="720"/>
                <w:tab w:val="left" w:pos="4770" w:leader="none"/>
              </w:tabs>
              <w:rPr/>
            </w:pPr>
            <w:r>
              <w:rPr/>
              <w:t xml:space="preserve">[EDGECOMBE DEVELOPMENT CO., LLC] c/o ENRON NORTH AMERICA </w:t>
            </w:r>
          </w:p>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Facsimile No.: (713)</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tabs>
                <w:tab w:val="clear" w:pos="720"/>
                <w:tab w:val="left" w:pos="4770" w:leader="none"/>
              </w:tabs>
              <w:rPr/>
            </w:pPr>
            <w:r>
              <w:rPr/>
              <w:t>PAYMENT</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p>
            <w:pPr>
              <w:pStyle w:val="Normal"/>
              <w:tabs>
                <w:tab w:val="clear" w:pos="720"/>
                <w:tab w:val="left" w:pos="4770" w:leader="none"/>
              </w:tabs>
              <w:rPr/>
            </w:pPr>
            <w:r>
              <w:rPr/>
            </w:r>
          </w:p>
          <w:p>
            <w:pPr>
              <w:pStyle w:val="Normal"/>
              <w:tabs>
                <w:tab w:val="clear" w:pos="720"/>
                <w:tab w:val="left" w:pos="4770" w:leader="none"/>
              </w:tabs>
              <w:rPr/>
            </w:pPr>
            <w:r>
              <w:rPr/>
              <w:t>Account No.:</w:t>
            </w:r>
          </w:p>
          <w:p>
            <w:pPr>
              <w:pStyle w:val="Normal"/>
              <w:tabs>
                <w:tab w:val="clear" w:pos="720"/>
                <w:tab w:val="left" w:pos="4770" w:leader="none"/>
              </w:tabs>
              <w:rPr/>
            </w:pPr>
            <w:r>
              <w:rPr/>
            </w:r>
          </w:p>
          <w:p>
            <w:pPr>
              <w:pStyle w:val="Normal"/>
              <w:tabs>
                <w:tab w:val="clear" w:pos="720"/>
                <w:tab w:val="left" w:pos="4770" w:leader="none"/>
              </w:tabs>
              <w:rPr/>
            </w:pPr>
            <w:r>
              <w:rPr/>
              <w:t>ABA No.:</w:t>
            </w:r>
          </w:p>
          <w:p>
            <w:pPr>
              <w:pStyle w:val="Normal"/>
              <w:tabs>
                <w:tab w:val="clear" w:pos="720"/>
                <w:tab w:val="left" w:pos="4770" w:leader="none"/>
              </w:tabs>
              <w:rPr/>
            </w:pPr>
            <w:r>
              <w:rPr/>
            </w:r>
          </w:p>
          <w:p>
            <w:pPr>
              <w:pStyle w:val="Normal"/>
              <w:tabs>
                <w:tab w:val="clear" w:pos="720"/>
                <w:tab w:val="left" w:pos="4770" w:leader="none"/>
              </w:tabs>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TO 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NOTICES, CORRESPONDENCE, &amp; INVOICES:</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keepNext w:val="true"/>
              <w:keepLines/>
              <w:tabs>
                <w:tab w:val="clear" w:pos="720"/>
                <w:tab w:val="left" w:pos="-720" w:leader="none"/>
              </w:tabs>
              <w:suppressAutoHyphens w:val="true"/>
              <w:rPr/>
            </w:pPr>
            <w:r>
              <w:rPr/>
              <w:t>If by US Mail:</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P. O. Box 26666</w:t>
            </w:r>
          </w:p>
          <w:p>
            <w:pPr>
              <w:pStyle w:val="Normal"/>
              <w:tabs>
                <w:tab w:val="clear" w:pos="720"/>
                <w:tab w:val="left" w:pos="4770" w:leader="none"/>
              </w:tabs>
              <w:rPr>
                <w:spacing w:val="-3"/>
              </w:rPr>
            </w:pPr>
            <w:r>
              <w:rPr>
                <w:spacing w:val="-3"/>
              </w:rPr>
              <w:t>Richmond, Virginia  23261</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keepNext w:val="true"/>
              <w:keepLines/>
              <w:tabs>
                <w:tab w:val="clear" w:pos="720"/>
                <w:tab w:val="left" w:pos="-720" w:leader="none"/>
              </w:tabs>
              <w:suppressAutoHyphens w:val="true"/>
              <w:snapToGrid w:val="fals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If by hand, fax, or courier: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One James River Plaza</w:t>
            </w:r>
          </w:p>
          <w:p>
            <w:pPr>
              <w:pStyle w:val="Normal"/>
              <w:keepNext w:val="true"/>
              <w:keepLines/>
              <w:tabs>
                <w:tab w:val="clear" w:pos="720"/>
                <w:tab w:val="left" w:pos="-720" w:leader="none"/>
              </w:tabs>
              <w:suppressAutoHyphens w:val="true"/>
              <w:rPr>
                <w:spacing w:val="-3"/>
              </w:rPr>
            </w:pPr>
            <w:r>
              <w:rPr>
                <w:spacing w:val="-3"/>
              </w:rPr>
              <w:t>701 E. Cary Street</w:t>
            </w:r>
          </w:p>
          <w:p>
            <w:pPr>
              <w:pStyle w:val="Normal"/>
              <w:keepNext w:val="true"/>
              <w:keepLines/>
              <w:tabs>
                <w:tab w:val="clear" w:pos="720"/>
                <w:tab w:val="left" w:pos="-720" w:leader="none"/>
              </w:tabs>
              <w:suppressAutoHyphens w:val="true"/>
              <w:rPr>
                <w:spacing w:val="-3"/>
              </w:rPr>
            </w:pPr>
            <w:r>
              <w:rPr>
                <w:spacing w:val="-3"/>
              </w:rPr>
              <w:t>Richmond, Virginia  23219</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Fax: 804-771-3005</w:t>
            </w:r>
          </w:p>
          <w:p>
            <w:pPr>
              <w:pStyle w:val="Normal"/>
              <w:tabs>
                <w:tab w:val="clear" w:pos="720"/>
                <w:tab w:val="left" w:pos="-720" w:leader="none"/>
              </w:tabs>
              <w:suppressAutoHyphens w:val="true"/>
              <w:rPr>
                <w:spacing w:val="-3"/>
              </w:rPr>
            </w:pPr>
            <w:r>
              <w:rPr>
                <w:spacing w:val="-3"/>
              </w:rPr>
            </w:r>
          </w:p>
          <w:p>
            <w:pPr>
              <w:pStyle w:val="Normal"/>
              <w:tabs>
                <w:tab w:val="clear" w:pos="720"/>
                <w:tab w:val="left" w:pos="4230" w:leader="none"/>
                <w:tab w:val="left" w:pos="4770" w:leader="none"/>
              </w:tabs>
              <w:rPr>
                <w:spacing w:val="-3"/>
              </w:rPr>
            </w:pPr>
            <w:r>
              <w:rPr>
                <w:spacing w:val="-3"/>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t>126189.9</w:t>
      </w:r>
    </w:p>
    <w:p>
      <w:pPr>
        <w:pStyle w:val="Normal"/>
        <w:rPr/>
      </w:pPr>
      <w:r>
        <w:rPr/>
      </w:r>
    </w:p>
    <w:p>
      <w:pPr>
        <w:pStyle w:val="Normal"/>
        <w:jc w:val="center"/>
        <w:rPr>
          <w:b/>
          <w:sz w:val="24"/>
        </w:rPr>
      </w:pPr>
      <w:r>
        <w:rPr>
          <w:b/>
          <w:sz w:val="24"/>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ppaCLNsep6.DOC</w:t>
    </w:r>
    <w:r>
      <w:rPr>
        <w:sz w:val="12"/>
      </w:rPr>
      <w:fldChar w:fldCharType="end"/>
    </w:r>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sz w:val="20"/>
        <w:lang w:val="en-CA" w:eastAsia="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860"/>
        </w:tabs>
        <w:ind w:start="1860" w:hanging="4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2"/>
      <w:numFmt w:val="lowerLetter"/>
      <w:lvlText w:val="(%1)"/>
      <w:lvlJc w:val="start"/>
      <w:pPr>
        <w:tabs>
          <w:tab w:val="num" w:pos="2160"/>
        </w:tabs>
        <w:ind w:start="2160" w:hanging="720"/>
      </w:pPr>
      <w:rPr/>
    </w:lvl>
  </w:abstractNum>
  <w:abstractNum w:abstractNumId="8">
    <w:lvl w:ilvl="0">
      <w:start w:val="1"/>
      <w:numFmt w:val="lowerRoman"/>
      <w:lvlText w:val="(%1)"/>
      <w:lvlJc w:val="start"/>
      <w:pPr>
        <w:tabs>
          <w:tab w:val="num" w:pos="720"/>
        </w:tabs>
        <w:ind w:start="216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4"/>
      <w:numFmt w:val="lowerLetter"/>
      <w:lvlText w:val="(%1)"/>
      <w:lvlJc w:val="start"/>
      <w:pPr>
        <w:tabs>
          <w:tab w:val="num" w:pos="2160"/>
        </w:tabs>
        <w:ind w:start="2160" w:hanging="720"/>
      </w:pPr>
      <w:rPr/>
    </w:lvl>
  </w:abstractNum>
  <w:abstractNum w:abstractNumId="13">
    <w:lvl w:ilvl="0">
      <w:start w:val="2"/>
      <w:numFmt w:val="lowerRoman"/>
      <w:lvlText w:val="(%1)"/>
      <w:lvlJc w:val="start"/>
      <w:pPr>
        <w:tabs>
          <w:tab w:val="num" w:pos="2880"/>
        </w:tabs>
        <w:ind w:start="2880" w:hanging="720"/>
      </w:pPr>
      <w:rPr/>
    </w:lvl>
  </w:abstractNum>
  <w:abstractNum w:abstractNumId="14">
    <w:lvl w:ilvl="0">
      <w:start w:val="2"/>
      <w:numFmt w:val="lowerLetter"/>
      <w:lvlText w:val="(%1)"/>
      <w:lvlJc w:val="start"/>
      <w:pPr>
        <w:tabs>
          <w:tab w:val="num" w:pos="1800"/>
        </w:tabs>
        <w:ind w:start="1800" w:hanging="360"/>
      </w:pPr>
      <w:rPr/>
    </w:lvl>
  </w:abstractNum>
  <w:abstractNum w:abstractNumId="15">
    <w:lvl w:ilvl="0">
      <w:start w:val="2"/>
      <w:numFmt w:val="lowerLetter"/>
      <w:lvlText w:val="(%1)"/>
      <w:lvlJc w:val="start"/>
      <w:pPr>
        <w:tabs>
          <w:tab w:val="num" w:pos="2160"/>
        </w:tabs>
        <w:ind w:start="2160" w:hanging="720"/>
      </w:pPr>
      <w:rPr/>
    </w:lvl>
  </w:abstractNum>
  <w:abstractNum w:abstractNumId="16">
    <w:lvl w:ilvl="0">
      <w:start w:val="2"/>
      <w:numFmt w:val="lowerLetter"/>
      <w:lvlText w:val="(%1)"/>
      <w:lvlJc w:val="start"/>
      <w:pPr>
        <w:tabs>
          <w:tab w:val="num" w:pos="2160"/>
        </w:tabs>
        <w:ind w:start="2160" w:hanging="720"/>
      </w:pPr>
      <w:rPr/>
    </w:lvl>
  </w:abstractNum>
  <w:abstractNum w:abstractNumId="17">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tyle>
  <w:style w:type="character" w:styleId="WW8Num46z0">
    <w:name w:val="WW8Num46z0"/>
    <w:qFormat/>
    <w:rPr>
      <w:sz w:val="20"/>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b/>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rFonts w:ascii="Times New Roman" w:hAnsi="Times New Roman" w:cs="Times New Roman"/>
      <w:b/>
      <w:i w:val="false"/>
      <w:sz w:val="20"/>
      <w:u w:val="none"/>
    </w:rPr>
  </w:style>
  <w:style w:type="character" w:styleId="WW8Num56z0">
    <w:name w:val="WW8Num56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rFonts w:ascii="Times New Roman" w:hAnsi="Times New Roman" w:cs="Times New Roman"/>
      <w:b w:val="false"/>
      <w:i w:val="false"/>
      <w:sz w:val="20"/>
      <w:u w:val="none"/>
    </w:rPr>
  </w:style>
  <w:style w:type="character" w:styleId="WW8Num76z0">
    <w:name w:val="WW8Num76z0"/>
    <w:qFormat/>
    <w:rPr/>
  </w:style>
  <w:style w:type="character" w:styleId="WW8Num77z0">
    <w:name w:val="WW8Num77z0"/>
    <w:qFormat/>
    <w:rPr>
      <w:rFonts w:ascii="Times New Roman" w:hAnsi="Times New Roman" w:cs="Times New Roman"/>
      <w:b w:val="false"/>
      <w:i w:val="false"/>
      <w:sz w:val="20"/>
      <w:u w:val="none"/>
    </w:rPr>
  </w:style>
  <w:style w:type="character" w:styleId="WW8Num78z0">
    <w:name w:val="WW8Num78z0"/>
    <w:qFormat/>
    <w:rPr/>
  </w:style>
  <w:style w:type="character" w:styleId="WW8Num79z0">
    <w:name w:val="WW8Num79z0"/>
    <w:qFormat/>
    <w:rPr>
      <w:rFonts w:ascii="Times New Roman" w:hAnsi="Times New Roman" w:cs="Times New Roman"/>
      <w:b w:val="false"/>
      <w:i w:val="false"/>
      <w:sz w:val="20"/>
      <w:u w:val="none"/>
    </w:rPr>
  </w:style>
  <w:style w:type="character" w:styleId="WW8Num80z0">
    <w:name w:val="WW8Num80z0"/>
    <w:qFormat/>
    <w:rPr/>
  </w:style>
  <w:style w:type="character" w:styleId="WW8Num81z0">
    <w:name w:val="WW8Num8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2000-09-19T11:38:00Z</dcterms:created>
  <dc:creator>Brenda Whitehead</dc:creator>
  <dc:description/>
  <dc:language>en-CA</dc:language>
  <cp:lastModifiedBy>kmann</cp:lastModifiedBy>
  <cp:lastPrinted>2000-09-06T12:45:00Z</cp:lastPrinted>
  <dcterms:modified xsi:type="dcterms:W3CDTF">2000-09-19T11:38:00Z</dcterms:modified>
  <cp:revision>2</cp:revision>
  <dc:subject/>
  <dc:title>POWER PURCHASE</dc:title>
</cp:coreProperties>
</file>