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t>EUCI Presents:</w:t>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center"/>
        <w:rPr>
          <w:rFonts w:ascii="Times New Roman;Times New Roman" w:hAnsi="Times New Roman;Times New Roman" w:cs="Times New Roman;Times New Roman"/>
          <w:b/>
          <w:sz w:val="52"/>
        </w:rPr>
      </w:pPr>
      <w:r>
        <w:rPr>
          <w:rFonts w:cs="Times New Roman;Times New Roman" w:ascii="Times New Roman;Times New Roman" w:hAnsi="Times New Roman;Times New Roman"/>
          <w:b/>
          <w:sz w:val="52"/>
        </w:rPr>
        <w:t>GENERATING PLANT MAINTENANCE CONFERENCE</w:t>
      </w:r>
    </w:p>
    <w:p>
      <w:pPr>
        <w:pStyle w:val="Normal"/>
        <w:suppressAutoHyphens w:val="true"/>
        <w:jc w:val="center"/>
        <w:rPr>
          <w:rFonts w:ascii="Times New Roman;Times New Roman" w:hAnsi="Times New Roman;Times New Roman" w:cs="Times New Roman;Times New Roman"/>
          <w:sz w:val="36"/>
        </w:rPr>
      </w:pPr>
      <w:r>
        <w:rPr>
          <w:rFonts w:cs="Times New Roman;Times New Roman" w:ascii="Times New Roman;Times New Roman" w:hAnsi="Times New Roman;Times New Roman"/>
          <w:sz w:val="36"/>
        </w:rPr>
        <w:t>July 18-19, 2000</w:t>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both"/>
        <w:rPr>
          <w:rFonts w:ascii="Times New Roman;Times New Roman" w:hAnsi="Times New Roman;Times New Roman" w:cs="Times New Roman;Times New Roman"/>
          <w:spacing w:val="-4"/>
          <w:sz w:val="36"/>
        </w:rPr>
      </w:pPr>
      <w:r>
        <w:rPr>
          <w:rFonts w:cs="Times New Roman;Times New Roman" w:ascii="Times New Roman;Times New Roman" w:hAnsi="Times New Roman;Times New Roman"/>
          <w:spacing w:val="-4"/>
          <w:sz w:val="36"/>
        </w:rPr>
      </w:r>
    </w:p>
    <w:p>
      <w:pPr>
        <w:pStyle w:val="Normal"/>
        <w:suppressAutoHyphens w:val="true"/>
        <w:jc w:val="center"/>
        <w:rPr>
          <w:rFonts w:ascii="Times New Roman;Times New Roman" w:hAnsi="Times New Roman;Times New Roman" w:cs="Times New Roman;Times New Roman"/>
          <w:b/>
          <w:sz w:val="52"/>
        </w:rPr>
      </w:pPr>
      <w:r>
        <w:rPr>
          <w:rFonts w:cs="Times New Roman;Times New Roman" w:ascii="Times New Roman;Times New Roman" w:hAnsi="Times New Roman;Times New Roman"/>
          <w:b/>
          <w:sz w:val="52"/>
        </w:rPr>
        <w:t>GENERATING PLANT EFFICIENCY &amp; PROCESS IMPROVEMENT CONFERENCE</w:t>
      </w:r>
    </w:p>
    <w:p>
      <w:pPr>
        <w:pStyle w:val="Normal"/>
        <w:suppressAutoHyphens w:val="true"/>
        <w:jc w:val="center"/>
        <w:rPr>
          <w:rFonts w:ascii="Times New Roman;Times New Roman" w:hAnsi="Times New Roman;Times New Roman" w:cs="Times New Roman;Times New Roman"/>
          <w:sz w:val="36"/>
        </w:rPr>
      </w:pPr>
      <w:r>
        <w:rPr>
          <w:rFonts w:cs="Times New Roman;Times New Roman" w:ascii="Times New Roman;Times New Roman" w:hAnsi="Times New Roman;Times New Roman"/>
          <w:sz w:val="36"/>
        </w:rPr>
        <w:t>July 20-21, 2000</w:t>
      </w:r>
    </w:p>
    <w:p>
      <w:pPr>
        <w:pStyle w:val="Normal"/>
        <w:suppressAutoHyphens w:val="true"/>
        <w:jc w:val="center"/>
        <w:rPr>
          <w:rFonts w:ascii="Times New Roman;Times New Roman" w:hAnsi="Times New Roman;Times New Roman" w:cs="Times New Roman;Times New Roman"/>
          <w:sz w:val="28"/>
        </w:rPr>
      </w:pPr>
      <w:r>
        <w:rPr>
          <w:rFonts w:cs="Times New Roman;Times New Roman" w:ascii="Times New Roman;Times New Roman" w:hAnsi="Times New Roman;Times New Roman"/>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center"/>
        <w:rPr>
          <w:rFonts w:ascii="Times New Roman;Times New Roman" w:hAnsi="Times New Roman;Times New Roman" w:cs="Times New Roman;Times New Roman"/>
          <w:b/>
          <w:sz w:val="40"/>
        </w:rPr>
      </w:pPr>
      <w:r>
        <w:rPr>
          <w:rFonts w:cs="Times New Roman;Times New Roman" w:ascii="Times New Roman;Times New Roman" w:hAnsi="Times New Roman;Times New Roman"/>
          <w:b/>
          <w:sz w:val="40"/>
        </w:rPr>
        <w:t>PRE-CONFERENCE WORKSHOP</w:t>
      </w:r>
    </w:p>
    <w:p>
      <w:pPr>
        <w:pStyle w:val="Normal"/>
        <w:suppressAutoHyphens w:val="true"/>
        <w:jc w:val="center"/>
        <w:rPr>
          <w:rFonts w:ascii="Times New Roman;Times New Roman" w:hAnsi="Times New Roman;Times New Roman" w:cs="Times New Roman;Times New Roman"/>
          <w:b/>
          <w:sz w:val="40"/>
        </w:rPr>
      </w:pPr>
      <w:r>
        <w:rPr>
          <w:rFonts w:cs="Times New Roman;Times New Roman" w:ascii="Times New Roman;Times New Roman" w:hAnsi="Times New Roman;Times New Roman"/>
          <w:b/>
          <w:sz w:val="40"/>
        </w:rPr>
        <w:t>GENERATION RCM</w:t>
      </w:r>
    </w:p>
    <w:p>
      <w:pPr>
        <w:pStyle w:val="Normal"/>
        <w:suppressAutoHyphens w:val="true"/>
        <w:jc w:val="center"/>
        <w:rPr>
          <w:rFonts w:ascii="Times New Roman;Times New Roman" w:hAnsi="Times New Roman;Times New Roman" w:cs="Times New Roman;Times New Roman"/>
          <w:sz w:val="28"/>
        </w:rPr>
      </w:pPr>
      <w:r>
        <w:rPr>
          <w:rFonts w:cs="Times New Roman;Times New Roman" w:ascii="Times New Roman;Times New Roman" w:hAnsi="Times New Roman;Times New Roman"/>
          <w:sz w:val="28"/>
        </w:rPr>
        <w:t>JULY 17, 2000</w:t>
      </w:r>
    </w:p>
    <w:p>
      <w:pPr>
        <w:pStyle w:val="Normal"/>
        <w:suppressAutoHyphens w:val="true"/>
        <w:jc w:val="center"/>
        <w:rPr>
          <w:rFonts w:ascii="Times New Roman;Times New Roman" w:hAnsi="Times New Roman;Times New Roman" w:cs="Times New Roman;Times New Roman"/>
          <w:sz w:val="28"/>
        </w:rPr>
      </w:pPr>
      <w:r>
        <w:rPr>
          <w:rFonts w:cs="Times New Roman;Times New Roman" w:ascii="Times New Roman;Times New Roman" w:hAnsi="Times New Roman;Times New Roman"/>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center"/>
        <w:rPr>
          <w:rFonts w:ascii="Times New Roman;Times New Roman" w:hAnsi="Times New Roman;Times New Roman" w:cs="Times New Roman;Times New Roman"/>
          <w:sz w:val="36"/>
        </w:rPr>
      </w:pPr>
      <w:r>
        <w:rPr>
          <w:rFonts w:cs="Times New Roman;Times New Roman" w:ascii="Times New Roman;Times New Roman" w:hAnsi="Times New Roman;Times New Roman"/>
          <w:sz w:val="36"/>
        </w:rPr>
        <w:t>Sheraton Four Points Hotel</w:t>
      </w:r>
    </w:p>
    <w:p>
      <w:pPr>
        <w:pStyle w:val="Normal"/>
        <w:suppressAutoHyphens w:val="true"/>
        <w:jc w:val="center"/>
        <w:rPr>
          <w:rFonts w:ascii="Times New Roman;Times New Roman" w:hAnsi="Times New Roman;Times New Roman" w:cs="Times New Roman;Times New Roman"/>
          <w:sz w:val="36"/>
        </w:rPr>
      </w:pPr>
      <w:r>
        <w:rPr>
          <w:rFonts w:cs="Times New Roman;Times New Roman" w:ascii="Times New Roman;Times New Roman" w:hAnsi="Times New Roman;Times New Roman"/>
          <w:sz w:val="36"/>
        </w:rPr>
        <w:t>Denver, Colorado</w:t>
      </w:r>
    </w:p>
    <w:p>
      <w:pPr>
        <w:pStyle w:val="Normal"/>
        <w:suppressAutoHyphens w:val="true"/>
        <w:jc w:val="both"/>
        <w:rPr>
          <w:rFonts w:ascii="Times New Roman;Times New Roman" w:hAnsi="Times New Roman;Times New Roman" w:cs="Times New Roman;Times New Roman"/>
          <w:b/>
          <w:spacing w:val="-4"/>
          <w:sz w:val="36"/>
        </w:rPr>
      </w:pPr>
      <w:r>
        <w:rPr>
          <w:rFonts w:cs="Times New Roman;Times New Roman" w:ascii="Times New Roman;Times New Roman" w:hAnsi="Times New Roman;Times New Roman"/>
          <w:b/>
          <w:spacing w:val="-4"/>
          <w:sz w:val="36"/>
        </w:rPr>
      </w:r>
    </w:p>
    <w:p>
      <w:pPr>
        <w:pStyle w:val="Normal"/>
        <w:suppressAutoHyphens w:val="true"/>
        <w:jc w:val="both"/>
        <w:rPr>
          <w:rFonts w:ascii="Times New Roman;Times New Roman" w:hAnsi="Times New Roman;Times New Roman" w:cs="Times New Roman;Times New Roman"/>
          <w:b/>
          <w:spacing w:val="-4"/>
          <w:sz w:val="36"/>
        </w:rPr>
      </w:pPr>
      <w:r>
        <w:rPr>
          <w:rFonts w:cs="Times New Roman;Times New Roman" w:ascii="Times New Roman;Times New Roman" w:hAnsi="Times New Roman;Times New Roman"/>
          <w:b/>
          <w:spacing w:val="-4"/>
          <w:sz w:val="36"/>
        </w:rPr>
      </w:r>
    </w:p>
    <w:p>
      <w:pPr>
        <w:pStyle w:val="Normal"/>
        <w:suppressAutoHyphens w:val="true"/>
        <w:jc w:val="both"/>
        <w:rPr>
          <w:rFonts w:ascii="Times New Roman;Times New Roman" w:hAnsi="Times New Roman;Times New Roman" w:cs="Times New Roman;Times New Roman"/>
          <w:b/>
          <w:spacing w:val="-4"/>
          <w:sz w:val="36"/>
        </w:rPr>
      </w:pPr>
      <w:r>
        <w:rPr>
          <w:rFonts w:cs="Times New Roman;Times New Roman" w:ascii="Times New Roman;Times New Roman" w:hAnsi="Times New Roman;Times New Roman"/>
          <w:b/>
          <w:spacing w:val="-4"/>
          <w:sz w:val="36"/>
        </w:rPr>
      </w:r>
    </w:p>
    <w:p>
      <w:pPr>
        <w:pStyle w:val="Normal"/>
        <w:suppressAutoHyphens w:val="true"/>
        <w:jc w:val="center"/>
        <w:rPr>
          <w:rFonts w:ascii="Times New Roman;Times New Roman" w:hAnsi="Times New Roman;Times New Roman" w:cs="Times New Roman;Times New Roman"/>
          <w:b/>
          <w:sz w:val="36"/>
        </w:rPr>
      </w:pPr>
      <w:r>
        <w:rPr>
          <w:rFonts w:cs="Times New Roman;Times New Roman" w:ascii="Times New Roman;Times New Roman" w:hAnsi="Times New Roman;Times New Roman"/>
          <w:b/>
          <w:sz w:val="36"/>
        </w:rPr>
        <w:t>GENERATING PLANT MAINTENANCE CONFERENCE</w:t>
      </w:r>
    </w:p>
    <w:p>
      <w:pPr>
        <w:pStyle w:val="Normal"/>
        <w:suppressAutoHyphens w:val="true"/>
        <w:jc w:val="center"/>
        <w:rPr>
          <w:rFonts w:ascii="Times New Roman;Times New Roman" w:hAnsi="Times New Roman;Times New Roman" w:cs="Times New Roman;Times New Roman"/>
          <w:sz w:val="28"/>
        </w:rPr>
      </w:pPr>
      <w:r>
        <w:rPr>
          <w:rFonts w:cs="Times New Roman;Times New Roman" w:ascii="Times New Roman;Times New Roman" w:hAnsi="Times New Roman;Times New Roman"/>
          <w:sz w:val="28"/>
        </w:rPr>
        <w:t>July 18-19, 2000</w:t>
      </w:r>
    </w:p>
    <w:p>
      <w:pPr>
        <w:pStyle w:val="Normal"/>
        <w:suppressAutoHyphens w:val="true"/>
        <w:jc w:val="center"/>
        <w:rPr>
          <w:rFonts w:ascii="Times New Roman;Times New Roman" w:hAnsi="Times New Roman;Times New Roman" w:cs="Times New Roman;Times New Roman"/>
          <w:sz w:val="28"/>
        </w:rPr>
      </w:pPr>
      <w:r>
        <w:rPr>
          <w:rFonts w:cs="Times New Roman;Times New Roman" w:ascii="Times New Roman;Times New Roman" w:hAnsi="Times New Roman;Times New Roman"/>
          <w:sz w:val="28"/>
        </w:rPr>
      </w:r>
    </w:p>
    <w:p>
      <w:pPr>
        <w:pStyle w:val="Normal"/>
        <w:suppressAutoHyphens w:val="true"/>
        <w:jc w:val="both"/>
        <w:rPr>
          <w:rFonts w:ascii="Times New Roman;Times New Roman" w:hAnsi="Times New Roman;Times New Roman" w:cs="Times New Roman;Times New Roman"/>
          <w:spacing w:val="-3"/>
          <w:sz w:val="28"/>
        </w:rPr>
      </w:pPr>
      <w:r>
        <w:rPr>
          <w:rFonts w:cs="Times New Roman;Times New Roman" w:ascii="Times New Roman;Times New Roman" w:hAnsi="Times New Roman;Times New Roman"/>
          <w:spacing w:val="-3"/>
          <w:sz w:val="28"/>
        </w:rPr>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t>TUESDAY  JULY 18, 2000</w:t>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Registration and Coffee  7:30 - 8:30 a.m.</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SESSION I: 8:30 - 10:00 a.m.</w:t>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ISSUES IN AN EVOLVING MARKET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Session Chair: Mr. Paul Harmon, Director-Client Services, R.W. Beck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"Successful Operational and Organizational Models in Electric Power Generation"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Deregulated, competitive electric power generation can be an attractive business. However, ensuring success in this new environment will not be easy. It will require major changes in the core processes and decisions involved in managing a portfolio of generation assets. The nature of the interaction between generation operations and other functions such as marketing and trading will also be affected. This presentation will provide an overview of McKinsey's latest thinking regarding successful operational and organizational models for electric power generators, including a discussion of the nature of the operational and organizational changes required, the skills and capabilities that will need to be built, and the profit improvement potential available.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Anjan Asthana, McKinsey &amp; Co.</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"Cost-Effective Plant Maintenance"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In the competitive generation marketplace, the success of a generation asset is judged primarily on its cost to produce electricity. There are a number of issues that must be considered to adequately evaluate and manage a cost-effective maintenance program. These include cost cutting, efficiency improvement, reliability improvement, providing ancillary services, and others. Looking at these cost issues in isolation may indicate a cost-effective program, but the generator must also have a good understanding of the competitive marketplace to make cost-effective plant maintenance strategy. This will include the considerations regarding evaluation of the cost-per-kilowatt-hour impact of program implementation. Additionally, a case study will be used to demonstrate this process and why one needs to consider the competitive issues in the marketplace.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Paul Harmon, Director-Client Services, R.W. Beck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Break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SESSION II: 10:15 a.m. - 5:00 p.m.</w:t>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OPERATIONS AND MAINTENANCE CHANGE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Session Chair: Mr. Jim August, Principal, Operations and Maintenance Engineering, Inc.</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"Competitive Plant Maintenance"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Tying plant maintenance to the competitive market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Market forces driving changes in maintenance strategy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Know your market - know your customers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Matching maintenance strategy to the competitive market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Value maintenance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People, making it happen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Operational advantages of Advanced Technology Combined Cycle Plants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Maintenance challenges of Advanced Technology Combined Cycle Plants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Doug Williamson, Director-Gas Plant Operations, Calpine Corp.</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"Why Can't Johnny do PM?"</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Scheduled maintenance is cited as a key requisite for effective maintenance performance and high reliability. Reliability in turn is cited again and again as the key to plant profitability in a peaking generation market. Yet many companies in the global generation market face real challenges with practical dispatch reliability and "availability in the market". This presentation examines the factors that allow plants to achieve high scheduled maintenance and implementation, and the barriers they face. It looks at scheduling and prioritization from an RCM concepts perspective, reviewing the tools that have helped - and hindered in the past twenty years.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Jim August, Principal, Operations and Maintenance Engineering, Inc.</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Group Luncheon  12:00 - 1:30 p.m.</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"Maintenance Optimization Through an Integrated Predictive/Preventive Maintenance Approach"</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This presentation describes the use of a template-based approach to the identification of a cost-effective mix of predictive and preventive maintenance tasks for various equipment groups. The process described uses an assessment approach to identify and categorize plant equipment into logical groups and develops Predictive/Preventive (PdM/PM) Guides to each group. The approach relies heavily on non-intrusive technologies to replace traditional intrusive time directed maintenance and provides a consistent approach to maintenance for the various equipment groups. The approach reduces infant mortality failures, allows standardization of spare parts and lubricants and reduces unplanned equipment/system outages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Ken Bass, Project Manager, Sargent &amp; Lundy and</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Bala Gogineni, Project Manager, Sargent &amp; Lundy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"Applications of Tenera Energy’s Profit-Centered Maintenance Methodology - Optimizing Asset Value"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In today’s competitive wholesale power market, a generating company must operate at a level that requires continued monitoring of its generating assets and the environment in which they compete.  In order to be successful in this new and constantly changing environment, the company must understand, in real-time, the impact of scheduled and unscheduled operation and maintenance activities upon the ability of its assets to produce revenue.  With this knowledge, the company’s competitive position is greatly enhanced.  Tenera Energy’s Risk Monitor is well-suited to provide a real-time quantitative risk profile associated with the ability of a company’s generating assets to produce power, and therefore, revenue.  Embodied within the Risk Monitor is an integrated probabilistic model of a generating asset, or a portfolio of generating assets, based on Tenera Energy’s Profit-Centered Maintenance (PCM) methodology.  The Risk Monitor can be used to quantify the impact of different plant configurations on plant operating risk, where risk is measured in terms of lost revenue ($) per unit time.  This is a valuable tool for assisting plant operations planners as they weigh the advantages and disadvantages of different maintenance and operating configurations and schedules.  The Risk Monitor can also be used by management  to evaluate the potential impacts of strategic decisions beyond the arena of plant operations and maintenance, so that their decisions can be made in a way that optimizes the value of their assets.  These risk-based decision applications include areas such as: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Strategic Planning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Finance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Trading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Mergers/Acquisitions/Divestitures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Insurance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Inventory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Peter Szetu, Tenera Energy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Break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"Case Study - Maintenance at Coronado Plant"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SRCM periodic maintenance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Manpower distribution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Training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Michael F. Brown, Maintenance Supervisor, Salt River Project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"RCM - The Vehicle That is Changing Maintenance Processes at Manitoba Hydro"</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The presentation will outline Manitoba Hydro's experience with using RCM. How we identified the need, the methodology we are using and why, what the analysis is showing and what we are doing with the results. Examples of unrealized opportunity savings will also be explored.</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Bernie P. Smith, RCM Coordinator-Power Supply, Manitoba Hydro</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t>WEDNESDAY  JULY 19, 2000</w:t>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SESSION III: 8:30 a.m. - 12:00 noon</w:t>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PEOPLE, PROCESSES, MEASUREMENT &amp; BENCHMARKING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Session Chair: Mr. Donald B. Miller, Jr., Director, UMS Group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"Performance Improvement Through Effective Benchmarking"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Perform an effective diagnostic (where are you)</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Process map your key functions (how do things get done)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Perform a Root Cause Analysis (know why things go wrong)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Implement effective corrective action (close the gaps)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develop a set of Key Performance Indicators (continuous improvement)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Mr. Donald B. Miller, Jr., Director, UMS Group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"Shared Risk and Measurement Alignment"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Plant major maintenance cost in relation to total operational expenditures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Traditional major maintenance risk areas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Narrowing traditional risk variations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Benefits of aligned measurements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Tying plant performance to maintenance contractors compensation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Marc Peterson, O&amp;M/LTSA Sales Development Manager-Western Region, General Electric International, Inc.</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Break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"Improving Reliability Through Human Performance Enhancement"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Managers want more than just training. They want to improve the on-the-job performance of their employees to increase equipment reliability and uptime. They want to eliminate mistakes and human errors as much as possible to ensure safety and cost effectiveness. This presentation centers on using Human Performance Technology (HPT) as a methodology to ensure maximum return on your "people process" dollar. We'll define HPT, derive the process and model, and demonstrate how useful the techniques can be within the generating plant industry.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Richard W. Lowell, Vice President-Training and Knowledge Management, HSB Reliability Technologies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"Building Estimates That Support Valid Scheduling"</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MAXIMO, a leading CMMS, has been integrated with a predetermined time standard database for a hydroelectric pump-turbine generator overhaul. The integration software program estimates work requirements including man-hours, tools, materials and crew composition and size. The integration software builds work estimates that enable the Maintenance Planner to schedule the job to complete the pump-turbine generator overhaul with reduced time delays and improved productivity. The integration software will be demonstrated. Actual hydroelectric pump-turbine generator overhaul man-hours will be presented and compared to the estimated man-hours. Actual productivity achieved during the hydroelectric pump-turbine generator overhaul will be presented.</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Franklin Frisina, Senior Performance Engineer, New York Power Authority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sectPr>
          <w:type w:val="nextPage"/>
          <w:pgSz w:w="12240" w:h="15840"/>
          <w:pgMar w:left="1440" w:right="1440" w:gutter="0" w:header="0" w:top="864" w:footer="0" w:bottom="432"/>
          <w:pgNumType w:start="1" w:fmt="decimal"/>
          <w:formProt w:val="false"/>
          <w:textDirection w:val="lrTb"/>
          <w:docGrid w:type="default" w:linePitch="360" w:charSpace="0"/>
        </w:sectPr>
      </w:pPr>
    </w:p>
    <w:p>
      <w:pPr>
        <w:pStyle w:val="Normal"/>
        <w:suppressAutoHyphens w:val="true"/>
        <w:jc w:val="center"/>
        <w:rPr>
          <w:rFonts w:ascii="Times New Roman;Times New Roman" w:hAnsi="Times New Roman;Times New Roman" w:cs="Times New Roman;Times New Roman"/>
          <w:b/>
          <w:sz w:val="40"/>
        </w:rPr>
      </w:pPr>
      <w:r>
        <w:rPr>
          <w:rFonts w:cs="Times New Roman;Times New Roman" w:ascii="Times New Roman;Times New Roman" w:hAnsi="Times New Roman;Times New Roman"/>
          <w:b/>
          <w:sz w:val="40"/>
        </w:rPr>
        <w:t>GENERATING PLANT EFFICIENCY &amp; PROCESS IMPROVEMENT CONFERENCE</w:t>
      </w:r>
    </w:p>
    <w:p>
      <w:pPr>
        <w:pStyle w:val="Normal"/>
        <w:suppressAutoHyphens w:val="true"/>
        <w:jc w:val="center"/>
        <w:rPr>
          <w:rFonts w:ascii="Times New Roman;Times New Roman" w:hAnsi="Times New Roman;Times New Roman" w:cs="Times New Roman;Times New Roman"/>
          <w:b/>
          <w:sz w:val="40"/>
        </w:rPr>
      </w:pPr>
      <w:r>
        <w:rPr>
          <w:rFonts w:cs="Times New Roman;Times New Roman" w:ascii="Times New Roman;Times New Roman" w:hAnsi="Times New Roman;Times New Roman"/>
          <w:b/>
          <w:sz w:val="40"/>
        </w:rPr>
        <w:t>July 20-21, 2000</w:t>
      </w:r>
    </w:p>
    <w:p>
      <w:pPr>
        <w:pStyle w:val="Normal"/>
        <w:suppressAutoHyphens w:val="true"/>
        <w:jc w:val="center"/>
        <w:rPr>
          <w:rFonts w:ascii="Times New Roman;Times New Roman" w:hAnsi="Times New Roman;Times New Roman" w:cs="Times New Roman;Times New Roman"/>
          <w:b/>
          <w:sz w:val="28"/>
        </w:rPr>
      </w:pPr>
      <w:r>
        <w:rPr>
          <w:rFonts w:cs="Times New Roman;Times New Roman" w:ascii="Times New Roman;Times New Roman" w:hAnsi="Times New Roman;Times New Roman"/>
          <w:b/>
          <w:sz w:val="28"/>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Plant efficiency and fuel cost control a major part of fossil generation expenses.  Plants strive to maintain low heat rate to control production cost.  Designers also push technology to its limits to keep production efficiency at the highest levels.  Practically though, many plants achieve high return on investment by operating mid-range technology at very high performance levels -- without cutting edge technology.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The focus of this conference is heat rate and process technology.  How do operations identify and sustain high performance levels?  What soft investments are useful?  What margins can be achieved?  Which companies operate furthest "outside the box?"  How does dispatch flexibility, startup efficiency, process costs, and staffing influence overall performance?  How does the market value these?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t>THURSDAY  JULY 20, 2000</w:t>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Registration and Coffee  7:30 - 8:30 a.m.</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SESSION I: 8:30 a.m. - 12:30 p.m.</w:t>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COMPETITIVE ISSUES -- OPERATING PROCESSES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Session Chair: Mr. Paul Harmon, Director-Client Services, R.W. Beck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"Performance Enhancement Solutions/Strategies for Reducing Operating Costs"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To run a power plant as efficient and as reliable as possible it is imperative that the plant's assets are operating at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 </w:t>
      </w:r>
      <w:r>
        <w:rPr>
          <w:rFonts w:cs="Times New Roman;Times New Roman" w:ascii="Times New Roman;Times New Roman" w:hAnsi="Times New Roman;Times New Roman"/>
          <w:spacing w:val="-2"/>
          <w:sz w:val="20"/>
        </w:rPr>
        <w:t>peak performance. It is known that maintenance costs have a considerable effect on the overall profitability of an energy producing station. The tools to manage a plant's assets and determine how they are operating in real-time are needed to help reduce these costs. The architecture to improve plant performance by keeping installed devices in the field operating at peak performance levels for longer periods of time is here today. The ability to integrate key information on a plant's assets such as control valves and transmitters is the backbone of these hardware and software platforms. This presentation will cover the new enabling technologies and setup of how this architecture integrates information to a single location. Along with the discussion of these tools, there will be specific examples of applications within the power industry where these platforms have shown considerable quantifiable cost savings to energy producers. Some of these examples which will be supported by case histories include reduced capital requirements, reduced maintenance costs, reduced process variability and increased process availability.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John Wilson, Applications Engineer, Fisher Controls International, Inc.</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"When are Capital Improvements Justified?"</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In a regulated utility business environment, the decision to make a capital improvement to a generation facility was based on good plant operation, maintenance, and engineering judgement. Economic analyses were performed to determine the payback period for the investment and, if reasonable, the improvement was implemented. Now, decisions regarding capital improvements must not only consider economic payback, but must also consider how the improvement will impact the competitiveness of the asset. Understanding the competitive marketplace will be an essential component to making the correct decisions. Other regulatory issues such as the recent law suit filed this past summer by the United States Environmental Protection Agencies against U.S. utilities associated with retrofits made at coal fired power plants could also impact the decision to make a capital improvement. This presentation will identify issues that should be considered when determining an appropriate capital improvement program.</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Paul Harmon, Director-Client Services, R.W. Beck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Break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"Optimizing the Use of Power Generation Plants Assets: A Process Based Approach"</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The paper presents a holistic view of both utilities and power generation plants as a network of processes which work together to achieve bottom line performance. Information is provided on the value of developing a process view of the organization and competencies in process analysis and improvement as a foundation for optimizing the use of power generation assets in today's dynamic and competitive marketplace.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Information is provided on the three primary process areas which influence bottom line power generation plant performance. These are 1) the business processes used to develop the overall business plan and strategy to be used to obtain maximum value from plant operation, 2) the technical processes the plant uses to generate power and 3) the work processes used to maintain and operate the plant. The paper provides an overview of each process area and emphasizes the importance of understanding that bottom-line performance is dependent both on the efficiency and effectiveness of individual processes and on how the processes interact with each other to provide optimum plant performance.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 xml:space="preserve">To help understand the three process areas and illustrate process optimization a case example for each of the three process areas is reviewed. The case example in the business process area is the plant level strategic planning process developed by the Nevada Power Clark/Sunrise/Harry Allen Complex Station. The case example in the technical process area is the improvement of the flue gas technical process at the AEM Cassano plant in Italy. The case example in the work process area is the optimization of the outage maintenance process at the Nevada Power Reid Gardner Plant.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Mr. Dale Gray, Electric Power Research Institute and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Ms. Laura Cohn, Organizational Learning Center</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Group Luncheon  12:30 - 2:00 p.m.</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SESSION II: 2:00 - 5:00 p.m.</w:t>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HEAT RATE IMPROVEMENT</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Session Chair: Mr. Peter Spinney, Principal, NewCo, Inc.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"Boiler Optimization with Neural Network Technology"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This presentation will provide an overview of neural network technology as applied to boiler optimization for electricity production and/or process steam. It will explain how proper application of the technology can provide substantial and simultaneous heat rate improvement and NOx reduction, while adhering to safe and prudent operating practices. It will address optimization in the context of the principles of combustion, alternative methods, case studies and demonstrated benefits. It will also touch on important considerations with respect to system integration and software design.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Mr. Peter Spinney, Principal, NewCo, Inc.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"Prevention of Fly-Ash Accumulation in Boiler Systems With Infrasound Energy"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Boiler cleaning equipment has traditionally been focused on the removal of fly-ash deposits after accumulation has occurred. To minimize erosion of heat transfer surfaces and conserve cleaning media, the practice has been to "blow once a shift". Depending upon the reliability of the sootblowers and the effectiveness of the "sootblower coverage," surface cleanliness ranges from an average of "almost clean" to "degrading over time." In the latter case, load de-ratings and/or unscheduled outages are eventually required.</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Low frequency sound cleaning systems have been successfully applied on air preheaters and boilers in the utility industry for many years. Recent experience demonstrates very effective results on SCR catalyst. Technology advances have resulted in more accurate predictions of cleaning effectiveness. The significant benefits of cleaning with low frequency sound energy include the ability to prevent accumulation of fly ash on a continuous basis and a significant reduction or elimination of the need to use traditional sootblowers.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This paper details the fundamental concept of cleaning with infrasound energy and highlights several of the commercial applications utilizing the Infrafonet sonic cleaner.</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Robert van Dam, Acoustic Technologies, Air Preheater Co.</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"Thermal Performance at TVA Fossil Plants: From Basics to Process Change"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The subject presentation will describe recent effort by TVA's Fossil Power Group to improve the thermal performance of its fleet of 59 coal-fired units. It chronicles the chain of events, including: (1) the focus on fundamentals (or basics) of efficient production, planning and organization to track performance and set improvement targets, and (2) movement into the world of convert energy process management. The paper will describe organizational changes, cultural change initiatives, and technology enhancements which form the foundation of this effort. All of the activities are a part of the larger TVA goal of preparing for increased competition in the electrical industry.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Allen Seabaugh, Sr. Technical Manager, Tennessee Valley Authority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t>FRIDAY  JULY 21, 2000</w:t>
      </w:r>
    </w:p>
    <w:p>
      <w:pPr>
        <w:pStyle w:val="Normal"/>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SESSION III: 8:30 a.m. - 1:00 p.m.</w:t>
      </w:r>
    </w:p>
    <w:p>
      <w:pPr>
        <w:pStyle w:val="Normal"/>
        <w:suppressAutoHyphens w:val="true"/>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t>PLANT CHANGING ROLES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Session Chair: Mr. Robert Matusheski, Meridium, Inc.</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"Analytical Methods for Plant Efficiency and Reliability Improvements"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With today's emphasis on developing competition through deregulation, heat rate gains are becoming more and more significant. Cheaper fuels, better performance, and higher equipment reliability combine to become key indicators for unit dispatch and the economic viability of generating units for future competitive markets. Fuel, performance and reliability are not independent, and gains made in one area can often be offset by losses in another. This paper describes this interdependency and suggests some analytical techniques that provide new information to improve cost performance. Under deregulation, value, rather than cost, will drive decisions for more effective asset management. With advances in information technology, tracking performance and reliability will be required to ensure the long-term success of the organization.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Robert Matusheski, Meridium, Inc.</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"Assessing the Operations/Maintenance Interface to Improve Plant Reliability"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This presentation describes an assessment approach that analyzes the health of 18 key attributes that impact Operations and Maintenance Departments. The assessment is designed to identify strengths and weaknesses in the Maintenance organization and in the Operations and Maintenance interface in areas that directly affect the reliability of plant equipment. The assessment results in the creation of a "spider chart" which serves as a management tool to be used to quickly prioritize corrective actions.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Ken Bass, Project Manager, Sargent &amp; Lundy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Bala Gogineni, Project Manager, Sargent &amp; Lundy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Break</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"Recent Trends in Pulverized Coal Firing Technology"</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More stringent emission limits or the addition of post combustion NOx control create the need for improvements of NOx emissions from pulverized coal boilers. Technical solutions range from addition of overfire air and state-of-the-art low NOx burners to low cost additions of combustion enhancements. In addition, opportunity fuels such as biomass or petcoke are considered by some utilities to reduce operating costs.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The presentation will focus on the recent trends in the combustion of coal. Advanced Low NOx firing systems for wall and tangentially fired boilers will be discussed. A proper air and coal balance at the burners is the key issue for these advanced systems. The Electric Charge Transfer technology to measure coal flow individually for each burner and to control the parameters for optimum combustion will be presented. Co-firing of biofuels or petcoke as opportunity fuels is another recent trend emerging in the combustion of coals that will be covered briefly in the presentation.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S. Laux, Mr. J. Grusha, Mr. Jim Utt, Foster Wheeler Energy Corp.</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"Using a Decision-Support Tool to Optimize the Timing of Outages and De-Rates in Today's Competitive Energy Market"</w:t>
      </w:r>
    </w:p>
    <w:p>
      <w:pPr>
        <w:pStyle w:val="Normal"/>
        <w:suppressAutoHyphens w:val="true"/>
        <w:jc w:val="both"/>
        <w:rPr/>
      </w:pPr>
      <w:r>
        <w:rPr>
          <w:rFonts w:cs="Times New Roman;Times New Roman" w:ascii="Times New Roman;Times New Roman" w:hAnsi="Times New Roman;Times New Roman"/>
          <w:spacing w:val="-2"/>
          <w:sz w:val="20"/>
        </w:rPr>
        <w:t xml:space="preserve">How plant managers answer the question of </w:t>
      </w:r>
      <w:r>
        <w:rPr>
          <w:rFonts w:cs="Times New Roman;Times New Roman" w:ascii="Times New Roman;Times New Roman" w:hAnsi="Times New Roman;Times New Roman"/>
          <w:b/>
          <w:spacing w:val="-2"/>
          <w:sz w:val="20"/>
        </w:rPr>
        <w:t>when</w:t>
      </w:r>
      <w:r>
        <w:rPr>
          <w:rFonts w:cs="Times New Roman;Times New Roman" w:ascii="Times New Roman;Times New Roman" w:hAnsi="Times New Roman;Times New Roman"/>
          <w:spacing w:val="-2"/>
          <w:sz w:val="20"/>
        </w:rPr>
        <w:t xml:space="preserve"> to de-rate or shutdown a power plant for emergent repairs can make a huge difference in today's volatile energy markets. How many times has an equipment problem at a power plant caused you to antagonize over adopting a forced-outage plan when you consider replacement power costs? Did you wish you had more time to evaluate all the potential options, or better yet - did you wish you simply had all the data you need at your disposal? In today's energy markets, plant managers can't afford to make outage/de-rate decisions in isolation. The optimal timing of an outage/de-rate scenario can reap huge profits in today's volatile energy markets. Moreover, the inability to make an informed decision in a manner of minutes can mean lost opportunities.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xml:space="preserve">Mr. Tim Schlimpert, Utilities International, Inc. and </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Tom Lawery, Production Manager-P.L. Bartow Plant, Florida Power Corp.</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Scott Quin, Power Marketing, Florida Power Corp.</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"Quantifying Risks Associated with Power Plant Performance"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Plant efficiency improvements are often overlooked as hedging tools in the emerging competitive markets for electricity. Learn how fundamental analysis of electric markets can help you quantify the risk associated with asset performance - and more importantly, how plant improvements can hedge that risk. This discussion will center around the questions: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What revenue potential will plant improvements bring to my Profit/Loss statements?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When is the best time to schedule plant maintenance?</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 Are there opportunities for market-based speculation?</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Lee Ragsdale, Sr. Consultant, New Energy Associates</w:t>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center" w:pos="468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PRE-CONFERENCE WORKSHOP</w:t>
      </w:r>
    </w:p>
    <w:p>
      <w:pPr>
        <w:pStyle w:val="Normal"/>
        <w:tabs>
          <w:tab w:val="clear" w:pos="720"/>
          <w:tab w:val="left" w:pos="-720" w:leader="none"/>
        </w:tabs>
        <w:suppressAutoHyphens w:val="true"/>
        <w:jc w:val="center"/>
        <w:rPr>
          <w:rFonts w:ascii="Times New Roman;Times New Roman" w:hAnsi="Times New Roman;Times New Roman" w:cs="Times New Roman;Times New Roman"/>
          <w:b/>
          <w:sz w:val="32"/>
        </w:rPr>
      </w:pPr>
      <w:r>
        <w:rPr>
          <w:rFonts w:cs="Times New Roman;Times New Roman" w:ascii="Times New Roman;Times New Roman" w:hAnsi="Times New Roman;Times New Roman"/>
          <w:b/>
          <w:sz w:val="32"/>
        </w:rPr>
        <w:t>GENERATION RCM WORKSHOP</w:t>
      </w:r>
    </w:p>
    <w:p>
      <w:pPr>
        <w:pStyle w:val="Normal"/>
        <w:tabs>
          <w:tab w:val="clear" w:pos="720"/>
          <w:tab w:val="left" w:pos="-720" w:leader="none"/>
        </w:tabs>
        <w:suppressAutoHyphens w:val="true"/>
        <w:jc w:val="center"/>
        <w:rPr>
          <w:rFonts w:ascii="Times New Roman;Times New Roman" w:hAnsi="Times New Roman;Times New Roman" w:cs="Times New Roman;Times New Roman"/>
          <w:b/>
          <w:sz w:val="32"/>
        </w:rPr>
      </w:pPr>
      <w:r>
        <w:rPr>
          <w:rFonts w:cs="Times New Roman;Times New Roman" w:ascii="Times New Roman;Times New Roman" w:hAnsi="Times New Roman;Times New Roman"/>
          <w:b/>
          <w:sz w:val="32"/>
        </w:rPr>
        <w:t>JULY 17, 2000</w:t>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4"/>
          <w:sz w:val="32"/>
        </w:rPr>
      </w:pPr>
      <w:r>
        <w:rPr>
          <w:rFonts w:cs="Times New Roman;Times New Roman" w:ascii="Times New Roman;Times New Roman" w:hAnsi="Times New Roman;Times New Roman"/>
          <w:b/>
          <w:spacing w:val="-4"/>
          <w:sz w:val="32"/>
        </w:rPr>
      </w:r>
    </w:p>
    <w:p>
      <w:pPr>
        <w:pStyle w:val="Normal"/>
        <w:tabs>
          <w:tab w:val="clear" w:pos="720"/>
          <w:tab w:val="left" w:pos="-720" w:leader="none"/>
        </w:tabs>
        <w:suppressAutoHyphens w:val="true"/>
        <w:jc w:val="center"/>
        <w:rPr>
          <w:rFonts w:ascii="Times New Roman;Times New Roman" w:hAnsi="Times New Roman;Times New Roman" w:cs="Times New Roman;Times New Roman"/>
          <w:b/>
        </w:rPr>
      </w:pPr>
      <w:r>
        <w:rPr>
          <w:rFonts w:cs="Times New Roman;Times New Roman" w:ascii="Times New Roman;Times New Roman" w:hAnsi="Times New Roman;Times New Roman"/>
          <w:b/>
        </w:rPr>
        <w:t>WORKSHOP OUTLINE</w:t>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t>MONDAY JUNE 17, 2000</w:t>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Registration and Coffee  8:00 - 8:30 a.m.</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Workshop Timing:  8:30 a.m. - 5:00 p.m.</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RCM is an operating maintenance strategy emphasizing condition monitoring. This strategy carries broad implications for competitive plant work design. This workshop explores practical RCM work strategy development from RCM plant assessment, to implementation.</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The workshop will work through typical power plant equipment examples covering:</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1. Selection of system(s)</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2. Boundary identification</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3. Equipment prioritization</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4. RCM techniques</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5. Failure review</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6. Vendor manual review</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7. Interviews</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8. Assembling the RCM plan</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9. Task comparison</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This workshop will perform RCM assessment using traditional RCM MS Excel spreadsheets and a demo RCM software. At the conclusion the attendee will have a performance-based feel for RCM analysis. Implementation of the results will also be discussed.</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Ultimately, results are reflected in operating procedures, computerized maintenance systems (PM masters) and methods. We will briefly cover strategic lessons, and accelerated methods to achieve RCM-minded maintenance and operating strategies.</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center"/>
        <w:rPr>
          <w:rFonts w:ascii="Times New Roman;Times New Roman" w:hAnsi="Times New Roman;Times New Roman" w:cs="Times New Roman;Times New Roman"/>
          <w:b/>
        </w:rPr>
      </w:pPr>
      <w:r>
        <w:rPr>
          <w:rFonts w:cs="Times New Roman;Times New Roman" w:ascii="Times New Roman;Times New Roman" w:hAnsi="Times New Roman;Times New Roman"/>
          <w:b/>
        </w:rPr>
        <w:t>WORKSHOP INSTRUCTOR</w:t>
      </w:r>
    </w:p>
    <w:p>
      <w:pPr>
        <w:pStyle w:val="Normal"/>
        <w:tabs>
          <w:tab w:val="clear" w:pos="720"/>
          <w:tab w:val="left" w:pos="-720" w:leader="none"/>
        </w:tabs>
        <w:suppressAutoHyphens w:val="true"/>
        <w:jc w:val="both"/>
        <w:rPr>
          <w:rFonts w:ascii="Times New Roman;Times New Roman" w:hAnsi="Times New Roman;Times New Roman" w:cs="Times New Roman;Times New Roman"/>
          <w:b/>
          <w:spacing w:val="-3"/>
        </w:rPr>
      </w:pPr>
      <w:r>
        <w:rPr>
          <w:rFonts w:cs="Times New Roman;Times New Roman" w:ascii="Times New Roman;Times New Roman" w:hAnsi="Times New Roman;Times New Roman"/>
          <w:b/>
          <w:spacing w:val="-3"/>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Mr. Jim August, PE, is a consultant in the power industry providing maintenance development and optimization services for generation, transmission and distribution. He is the principal of OME, Inc., a maintenance and engineering services supplier. He has authored maintenance publications as well as the book "Applied Reliability Centered Maintenance", published by Penn Well Publishing, which publishes Power Engineering magazine. He has over 20 years experience in power generation maintenance, engineering and management. He graduated from the University of Colorado (1981, 1992) and Cornell University (1975) and holds a BS and ME degrees in mechanical engineering, physics, and engineering management.</w:t>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Normal"/>
        <w:tabs>
          <w:tab w:val="clear" w:pos="720"/>
          <w:tab w:val="left" w:pos="-720" w:leader="none"/>
        </w:tabs>
        <w:suppressAutoHyphens w:val="true"/>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Lunch will be provided.</w:t>
      </w:r>
    </w:p>
    <w:p>
      <w:pPr>
        <w:pStyle w:val="BodyTextIndent"/>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r>
    </w:p>
    <w:p>
      <w:pPr>
        <w:pStyle w:val="BodyTextIndent"/>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Indent"/>
        <w:jc w:val="center"/>
        <w:rPr>
          <w:rFonts w:ascii="Times New Roman;Times New Roman" w:hAnsi="Times New Roman;Times New Roman" w:cs="Times New Roman;Times New Roman"/>
          <w:sz w:val="20"/>
        </w:rPr>
      </w:pPr>
      <w:r>
        <w:rPr>
          <w:rFonts w:cs="Times New Roman;Times New Roman" w:ascii="Times New Roman;Times New Roman" w:hAnsi="Times New Roman;Times New Roman"/>
          <w:b/>
          <w:sz w:val="20"/>
        </w:rPr>
        <w:t>PROCEEDINGS</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proceedings of the Conferences and Workshop will be published and one copy will be distributed to each registrant at the conference. Extra copies of the composite proceedings (July 17-21, 2000) will be available at $395.00.</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jc w:val="center"/>
        <w:rPr>
          <w:rFonts w:ascii="Times New Roman;Times New Roman" w:hAnsi="Times New Roman;Times New Roman" w:cs="Times New Roman;Times New Roman"/>
          <w:sz w:val="20"/>
        </w:rPr>
      </w:pPr>
      <w:r>
        <w:rPr>
          <w:rFonts w:cs="Times New Roman;Times New Roman" w:ascii="Times New Roman;Times New Roman" w:hAnsi="Times New Roman;Times New Roman"/>
          <w:b/>
          <w:sz w:val="20"/>
        </w:rPr>
        <w:t>CONFERENCE LOCATION</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A room block has been reserved at the Sheraton Four Points Hotel for the nights of July 15 through July 23, 2000. The  rate is $99 single or double occupancy, plus applicable tax. The hotel is located at 600 S. Colorado Blvd., Denver, CO 80246. Transportation from Denver International Airport (DIA) to Sheraton Four Points Denver Cherry Creek is available from ABC Shuttle Service at a rate of $15.00 per person, each way.  Located against a spectacular backdrop of the Rocky Mountains, the Four Points Hotel Denver Cherry Creek is within walking distance of shopping, entertainment and fine dining. </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t xml:space="preserve">Call the Sheraton Four Points Hotel (303)757-3341 or (800)325-3535 for reservations. Make your reservations prior to June 16, 2000. Reservations after this date will be on a space available basis and </w:t>
      </w:r>
      <w:r>
        <w:rPr>
          <w:rFonts w:cs="Times New Roman;Times New Roman" w:ascii="Times New Roman;Times New Roman" w:hAnsi="Times New Roman;Times New Roman"/>
          <w:b/>
          <w:sz w:val="20"/>
        </w:rPr>
        <w:t>cannot be guaranteed at the conference rate.</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jc w:val="center"/>
        <w:rPr>
          <w:rFonts w:ascii="Times New Roman;Times New Roman" w:hAnsi="Times New Roman;Times New Roman" w:cs="Times New Roman;Times New Roman"/>
          <w:sz w:val="20"/>
        </w:rPr>
      </w:pPr>
      <w:r>
        <w:rPr>
          <w:rFonts w:cs="Times New Roman;Times New Roman" w:ascii="Times New Roman;Times New Roman" w:hAnsi="Times New Roman;Times New Roman"/>
          <w:b/>
          <w:sz w:val="20"/>
        </w:rPr>
        <w:t>REGISTRATION</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pPr>
      <w:r>
        <w:rPr>
          <w:rFonts w:cs="Times New Roman;Times New Roman" w:ascii="Times New Roman;Times New Roman" w:hAnsi="Times New Roman;Times New Roman"/>
          <w:sz w:val="20"/>
        </w:rPr>
        <w:t xml:space="preserve">For instant registration, call </w:t>
      </w:r>
      <w:r>
        <w:rPr>
          <w:rFonts w:cs="Times New Roman;Times New Roman" w:ascii="Times New Roman;Times New Roman" w:hAnsi="Times New Roman;Times New Roman"/>
          <w:b/>
          <w:sz w:val="20"/>
        </w:rPr>
        <w:t>(303)770-8800</w:t>
      </w:r>
      <w:r>
        <w:rPr>
          <w:rFonts w:cs="Times New Roman;Times New Roman" w:ascii="Times New Roman;Times New Roman" w:hAnsi="Times New Roman;Times New Roman"/>
          <w:sz w:val="20"/>
        </w:rPr>
        <w:t xml:space="preserve"> or fax the Registration Form to </w:t>
      </w:r>
      <w:r>
        <w:rPr>
          <w:rFonts w:cs="Times New Roman;Times New Roman" w:ascii="Times New Roman;Times New Roman" w:hAnsi="Times New Roman;Times New Roman"/>
          <w:b/>
          <w:sz w:val="20"/>
        </w:rPr>
        <w:t>(303)741-0849</w:t>
      </w:r>
      <w:r>
        <w:rPr>
          <w:rFonts w:cs="Times New Roman;Times New Roman" w:ascii="Times New Roman;Times New Roman" w:hAnsi="Times New Roman;Times New Roman"/>
          <w:sz w:val="20"/>
        </w:rPr>
        <w:t xml:space="preserve">. </w:t>
      </w:r>
    </w:p>
    <w:p>
      <w:pPr>
        <w:pStyle w:val="BodyTextIndent"/>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Indent"/>
        <w:rPr/>
      </w:pPr>
      <w:r>
        <w:rPr>
          <w:rFonts w:cs="Times New Roman;Times New Roman" w:ascii="Times New Roman;Times New Roman" w:hAnsi="Times New Roman;Times New Roman"/>
          <w:b/>
          <w:sz w:val="20"/>
        </w:rPr>
        <w:t>Register 3, Send 4th Free!!</w:t>
      </w:r>
      <w:r>
        <w:rPr>
          <w:rFonts w:cs="Times New Roman;Times New Roman" w:ascii="Times New Roman;Times New Roman" w:hAnsi="Times New Roman;Times New Roman"/>
          <w:sz w:val="20"/>
        </w:rPr>
        <w:t xml:space="preserve"> Any organization wishing to send multiple attendees to these conferences may send 1 FREE for every 3 delegates registered. Please note that all registrations must be made at the same time to qualify.</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All cancellations received on or before June 16, 2000, will be subject to a $100 processing fee. Written cancellations received after this date will create a partial credit of the tuition good toward any other EUC conference or publication. The credit will be good for six months. In case of conference cancellation, Electric Utility Consultants' liability is limited to refund of the conference registration fee only.</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TABLETOP EXHIBITS</w:t>
      </w:r>
    </w:p>
    <w:p>
      <w:pPr>
        <w:pStyle w:val="BodyTextIndent"/>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A limited amount of exhibit space is available at the Conference. This is your chance to provide our attendees with the solutions that their businesses need. The exhibit area is designed to ensure optimum traffic for your organization. Maximize your marketing budget by exhibiting at this Conference and meet decision makers face to face. </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You can also sponsor an evening networking reception, Luncheon, or Breakfast.</w:t>
      </w:r>
    </w:p>
    <w:p>
      <w:pPr>
        <w:pStyle w:val="BodyTextInden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REGISTRATION FORM</w:t>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Indent"/>
        <w:ind w:start="-720" w:end="-720"/>
        <w:jc w:val="both"/>
        <w:rPr/>
      </w:pPr>
      <w:r>
        <w:rPr>
          <w:rFonts w:eastAsia="Wingdings" w:cs="Wingdings" w:ascii="Wingdings" w:hAnsi="Wingdings"/>
          <w:b/>
          <w:spacing w:val="-5"/>
          <w:sz w:val="40"/>
        </w:rPr>
        <w:sym w:font="Wingdings" w:char="f0a8"/>
      </w:r>
      <w:r>
        <w:rPr>
          <w:rFonts w:cs="Times New Roman;Times New Roman" w:ascii="Times New Roman;Times New Roman" w:hAnsi="Times New Roman;Times New Roman"/>
          <w:b/>
          <w:spacing w:val="-2"/>
          <w:sz w:val="20"/>
        </w:rPr>
        <w:t xml:space="preserve">  </w:t>
      </w:r>
      <w:r>
        <w:rPr>
          <w:rFonts w:cs="Times New Roman;Times New Roman" w:ascii="Times New Roman;Times New Roman" w:hAnsi="Times New Roman;Times New Roman"/>
          <w:b/>
          <w:spacing w:val="-2"/>
          <w:sz w:val="20"/>
        </w:rPr>
        <w:t>Generating Plant Maintenance Conference July 18-19, 2000: $995, Early Bird Before July 7, $895</w:t>
      </w:r>
    </w:p>
    <w:p>
      <w:pPr>
        <w:pStyle w:val="BodyTextIndent"/>
        <w:ind w:start="-720" w:end="-720"/>
        <w:jc w:val="both"/>
        <w:rPr/>
      </w:pPr>
      <w:r>
        <w:rPr>
          <w:rFonts w:eastAsia="Wingdings" w:cs="Wingdings" w:ascii="Wingdings" w:hAnsi="Wingdings"/>
          <w:b/>
          <w:spacing w:val="-5"/>
          <w:sz w:val="40"/>
        </w:rPr>
        <w:sym w:font="Wingdings" w:char="f0a8"/>
      </w:r>
      <w:r>
        <w:rPr>
          <w:rFonts w:cs="Times New Roman;Times New Roman" w:ascii="Times New Roman;Times New Roman" w:hAnsi="Times New Roman;Times New Roman"/>
          <w:b/>
          <w:spacing w:val="-2"/>
          <w:sz w:val="20"/>
        </w:rPr>
        <w:t xml:space="preserve">  </w:t>
      </w:r>
      <w:r>
        <w:rPr>
          <w:rFonts w:cs="Times New Roman;Times New Roman" w:ascii="Times New Roman;Times New Roman" w:hAnsi="Times New Roman;Times New Roman"/>
          <w:b/>
          <w:spacing w:val="-2"/>
          <w:sz w:val="20"/>
        </w:rPr>
        <w:t>Generating Plant Efficiency &amp; Process Improvement July 20-21, 2000: $995, Early Bird Before July 7, $895</w:t>
      </w:r>
    </w:p>
    <w:p>
      <w:pPr>
        <w:pStyle w:val="BodyTextIndent"/>
        <w:ind w:start="-720" w:end="-720"/>
        <w:jc w:val="both"/>
        <w:rPr/>
      </w:pPr>
      <w:r>
        <w:rPr>
          <w:rFonts w:eastAsia="Wingdings" w:cs="Wingdings" w:ascii="Wingdings" w:hAnsi="Wingdings"/>
          <w:b/>
          <w:spacing w:val="-5"/>
          <w:sz w:val="40"/>
        </w:rPr>
        <w:sym w:font="Wingdings" w:char="f0a8"/>
      </w:r>
      <w:r>
        <w:rPr>
          <w:rFonts w:cs="Times New Roman;Times New Roman" w:ascii="Times New Roman;Times New Roman" w:hAnsi="Times New Roman;Times New Roman"/>
          <w:b/>
          <w:spacing w:val="-2"/>
          <w:sz w:val="20"/>
        </w:rPr>
        <w:t xml:space="preserve">  </w:t>
      </w:r>
      <w:r>
        <w:rPr>
          <w:rFonts w:cs="Times New Roman;Times New Roman" w:ascii="Times New Roman;Times New Roman" w:hAnsi="Times New Roman;Times New Roman"/>
          <w:b/>
          <w:spacing w:val="-2"/>
          <w:sz w:val="20"/>
        </w:rPr>
        <w:t xml:space="preserve">Generation RCM Workshop July 17, 2000: $595, Early Bird Before July 7, $545 </w:t>
      </w:r>
    </w:p>
    <w:p>
      <w:pPr>
        <w:pStyle w:val="BodyTextIndent"/>
        <w:ind w:start="-720" w:end="-720"/>
        <w:jc w:val="both"/>
        <w:rPr/>
      </w:pPr>
      <w:r>
        <w:rPr>
          <w:rFonts w:eastAsia="Wingdings" w:cs="Wingdings" w:ascii="Wingdings" w:hAnsi="Wingdings"/>
          <w:b/>
          <w:spacing w:val="-5"/>
          <w:sz w:val="40"/>
        </w:rPr>
        <w:sym w:font="Wingdings" w:char="f0a8"/>
      </w:r>
      <w:r>
        <w:rPr>
          <w:rFonts w:cs="Times New Roman;Times New Roman" w:ascii="Times New Roman;Times New Roman" w:hAnsi="Times New Roman;Times New Roman"/>
          <w:b/>
          <w:spacing w:val="-2"/>
          <w:sz w:val="20"/>
        </w:rPr>
        <w:t xml:space="preserve">  </w:t>
      </w:r>
      <w:r>
        <w:rPr>
          <w:rFonts w:cs="Times New Roman;Times New Roman" w:ascii="Times New Roman;Times New Roman" w:hAnsi="Times New Roman;Times New Roman"/>
          <w:b/>
          <w:spacing w:val="-2"/>
          <w:sz w:val="20"/>
        </w:rPr>
        <w:t>Discounted Registration for Attending Both Conferences and Workshop: $2,295, Early Bird Before July 7, $2,095</w:t>
      </w:r>
    </w:p>
    <w:p>
      <w:pPr>
        <w:pStyle w:val="BodyTextIndent"/>
        <w:ind w:start="-720" w:end="-720"/>
        <w:jc w:val="both"/>
        <w:rPr/>
      </w:pPr>
      <w:r>
        <w:rPr>
          <w:rFonts w:eastAsia="Wingdings" w:cs="Wingdings" w:ascii="Wingdings" w:hAnsi="Wingdings"/>
          <w:b/>
          <w:spacing w:val="-5"/>
          <w:sz w:val="40"/>
        </w:rPr>
        <w:sym w:font="Wingdings" w:char="f0a8"/>
      </w:r>
      <w:r>
        <w:rPr>
          <w:rFonts w:cs="Times New Roman;Times New Roman" w:ascii="Times New Roman;Times New Roman" w:hAnsi="Times New Roman;Times New Roman"/>
          <w:b/>
          <w:spacing w:val="-2"/>
          <w:sz w:val="20"/>
        </w:rPr>
        <w:t xml:space="preserve">  </w:t>
      </w:r>
      <w:r>
        <w:rPr>
          <w:rFonts w:cs="Times New Roman;Times New Roman" w:ascii="Times New Roman;Times New Roman" w:hAnsi="Times New Roman;Times New Roman"/>
          <w:b/>
          <w:spacing w:val="-2"/>
          <w:sz w:val="20"/>
        </w:rPr>
        <w:t>Discounted Registration for Attending Both Conferences: $1,795, Early Bird Before July 7, $1,595</w:t>
      </w:r>
    </w:p>
    <w:p>
      <w:pPr>
        <w:pStyle w:val="BodyTextIndent"/>
        <w:ind w:start="-720" w:end="-720"/>
        <w:jc w:val="both"/>
        <w:rPr>
          <w:rFonts w:ascii="Times New Roman;Times New Roman" w:hAnsi="Times New Roman;Times New Roman" w:cs="Times New Roman;Times New Roman"/>
          <w:spacing w:val="-2"/>
          <w:sz w:val="20"/>
        </w:rPr>
      </w:pPr>
      <w:r>
        <w:rPr>
          <w:rFonts w:eastAsia="Wingdings" w:cs="Wingdings" w:ascii="Wingdings" w:hAnsi="Wingdings"/>
          <w:b/>
          <w:spacing w:val="-5"/>
          <w:sz w:val="40"/>
        </w:rPr>
        <w:sym w:font="Wingdings" w:char="f0a8"/>
      </w:r>
      <w:r>
        <w:rPr>
          <w:rFonts w:cs="Times New Roman;Times New Roman" w:ascii="Times New Roman;Times New Roman" w:hAnsi="Times New Roman;Times New Roman"/>
          <w:b/>
          <w:spacing w:val="-2"/>
          <w:sz w:val="20"/>
        </w:rPr>
        <w:t xml:space="preserve">  </w:t>
      </w:r>
      <w:r>
        <w:rPr>
          <w:rFonts w:cs="Times New Roman;Times New Roman" w:ascii="Times New Roman;Times New Roman" w:hAnsi="Times New Roman;Times New Roman"/>
          <w:b/>
          <w:spacing w:val="-2"/>
          <w:sz w:val="20"/>
        </w:rPr>
        <w:t>Discounted Registration for Attending One Conference and Workshop: $1,395, Early Bird Before July 7, $1,295</w:t>
      </w:r>
    </w:p>
    <w:p>
      <w:pPr>
        <w:pStyle w:val="BodyTextIndent"/>
        <w:ind w:start="-720" w:end="-720"/>
        <w:jc w:val="both"/>
        <w:rPr/>
      </w:pPr>
      <w:r>
        <w:rPr>
          <w:rFonts w:eastAsia="Wingdings" w:cs="Wingdings" w:ascii="Wingdings" w:hAnsi="Wingdings"/>
          <w:spacing w:val="-5"/>
          <w:sz w:val="40"/>
        </w:rPr>
        <w:sym w:font="Wingdings" w:char="f0a8"/>
      </w:r>
      <w:r>
        <w:rPr>
          <w:rFonts w:cs="Times New Roman;Times New Roman" w:ascii="Times New Roman;Times New Roman" w:hAnsi="Times New Roman;Times New Roman"/>
          <w:spacing w:val="-2"/>
          <w:sz w:val="20"/>
        </w:rPr>
        <w:t xml:space="preserve">  </w:t>
      </w:r>
      <w:r>
        <w:rPr>
          <w:rFonts w:cs="Times New Roman;Times New Roman" w:ascii="Times New Roman;Times New Roman" w:hAnsi="Times New Roman;Times New Roman"/>
          <w:b/>
          <w:spacing w:val="-2"/>
          <w:sz w:val="20"/>
        </w:rPr>
        <w:t>Sorry, I Cannot Attend But Please Send Me the Conferences/Workshop Proceeding at $395</w:t>
      </w:r>
      <w:r>
        <w:rPr>
          <w:rFonts w:cs="Times New Roman;Times New Roman" w:ascii="Times New Roman;Times New Roman" w:hAnsi="Times New Roman;Times New Roman"/>
          <w:spacing w:val="-2"/>
          <w:sz w:val="20"/>
        </w:rPr>
        <w:t xml:space="preserve"> </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pPr>
      <w:r>
        <w:rPr>
          <w:rFonts w:cs="Times New Roman;Times New Roman" w:ascii="Times New Roman;Times New Roman" w:hAnsi="Times New Roman;Times New Roman"/>
          <w:spacing w:val="-2"/>
          <w:sz w:val="20"/>
        </w:rPr>
        <w:tab/>
        <w:t xml:space="preserve">Please charge my credit card    </w:t>
      </w:r>
      <w:r>
        <w:rPr>
          <w:rFonts w:eastAsia="Wingdings" w:cs="Wingdings" w:ascii="Wingdings" w:hAnsi="Wingdings"/>
          <w:spacing w:val="-2"/>
          <w:sz w:val="20"/>
        </w:rPr>
        <w:sym w:font="Wingdings" w:char="f0a8"/>
      </w:r>
      <w:r>
        <w:rPr>
          <w:rFonts w:cs="Times New Roman;Times New Roman" w:ascii="Times New Roman;Times New Roman" w:hAnsi="Times New Roman;Times New Roman"/>
          <w:spacing w:val="-2"/>
          <w:sz w:val="20"/>
        </w:rPr>
        <w:t xml:space="preserve"> Visa    </w:t>
      </w:r>
      <w:r>
        <w:rPr>
          <w:rFonts w:eastAsia="Wingdings" w:cs="Wingdings" w:ascii="Wingdings" w:hAnsi="Wingdings"/>
          <w:spacing w:val="-2"/>
          <w:sz w:val="20"/>
        </w:rPr>
        <w:sym w:font="Wingdings" w:char="f0a8"/>
      </w:r>
      <w:r>
        <w:rPr>
          <w:rFonts w:cs="Times New Roman;Times New Roman" w:ascii="Times New Roman;Times New Roman" w:hAnsi="Times New Roman;Times New Roman"/>
          <w:spacing w:val="-2"/>
          <w:sz w:val="20"/>
        </w:rPr>
        <w:t xml:space="preserve"> Master Card   </w:t>
      </w:r>
      <w:r>
        <w:rPr>
          <w:rFonts w:eastAsia="Wingdings" w:cs="Wingdings" w:ascii="Wingdings" w:hAnsi="Wingdings"/>
          <w:spacing w:val="-2"/>
          <w:sz w:val="20"/>
        </w:rPr>
        <w:sym w:font="Wingdings" w:char="f0a8"/>
      </w:r>
      <w:r>
        <w:rPr>
          <w:rFonts w:cs="Times New Roman;Times New Roman" w:ascii="Times New Roman;Times New Roman" w:hAnsi="Times New Roman;Times New Roman"/>
          <w:spacing w:val="-2"/>
          <w:sz w:val="20"/>
        </w:rPr>
        <w:t xml:space="preserve"> American Express</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Account Number_______________________________________________Exp. Date _______________________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Signature_____________________________________________________________________________________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tabs>
          <w:tab w:val="left" w:pos="-720" w:leader="none"/>
          <w:tab w:val="left" w:pos="0" w:leader="none"/>
          <w:tab w:val="center" w:pos="4680" w:leader="none"/>
          <w:tab w:val="left" w:pos="5040" w:leader="none"/>
        </w:tabs>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b/>
        <w:t>Enclosed is a check for $________ to cover ____ persons</w:t>
      </w:r>
    </w:p>
    <w:p>
      <w:pPr>
        <w:pStyle w:val="BodyTextIndent"/>
        <w:ind w:start="-720" w:end="-720"/>
        <w:jc w:val="both"/>
        <w:rPr>
          <w:rFonts w:ascii="Times New Roman;Times New Roman" w:hAnsi="Times New Roman;Times New Roman" w:cs="Times New Roman;Times New Roman"/>
          <w:b/>
          <w:spacing w:val="-2"/>
          <w:sz w:val="20"/>
        </w:rPr>
      </w:pPr>
      <w:r>
        <w:rPr>
          <w:rFonts w:cs="Times New Roman;Times New Roman" w:ascii="Times New Roman;Times New Roman" w:hAnsi="Times New Roman;Times New Roman"/>
          <w:b/>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b/>
          <w:spacing w:val="-2"/>
          <w:sz w:val="20"/>
        </w:rPr>
        <w:t>Please Register the Following:</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Name________________________________________________________________Title_____________________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First Name for I/D Badge__________________________________email___________________________________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Company____________________________________________Telephone__________________Fax______________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Address_______________________________________________________________________________________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t>City___________________________________________________State__________________Zip_____________</w:t>
      </w:r>
    </w:p>
    <w:p>
      <w:pPr>
        <w:pStyle w:val="BodyTextIndent"/>
        <w:ind w:start="-720" w:end="-720"/>
        <w:jc w:val="both"/>
        <w:rPr>
          <w:rFonts w:ascii="Times New Roman;Times New Roman" w:hAnsi="Times New Roman;Times New Roman" w:cs="Times New Roman;Times New Roman"/>
          <w:spacing w:val="-2"/>
          <w:sz w:val="20"/>
        </w:rPr>
      </w:pPr>
      <w:r>
        <w:rPr>
          <w:rFonts w:cs="Times New Roman;Times New Roman" w:ascii="Times New Roman;Times New Roman" w:hAnsi="Times New Roman;Times New Roman"/>
          <w:spacing w:val="-2"/>
          <w:sz w:val="20"/>
        </w:rPr>
      </w:r>
    </w:p>
    <w:p>
      <w:pPr>
        <w:pStyle w:val="BodyTextIndent"/>
        <w:tabs>
          <w:tab w:val="left" w:pos="-720" w:leader="none"/>
          <w:tab w:val="left" w:pos="0" w:leader="none"/>
        </w:tabs>
        <w:ind w:start="-720" w:end="-720"/>
        <w:jc w:val="center"/>
        <w:rPr/>
      </w:pPr>
      <w:r>
        <w:rPr>
          <w:rFonts w:cs="Times New Roman;Times New Roman" w:ascii="Times New Roman;Times New Roman" w:hAnsi="Times New Roman;Times New Roman"/>
          <w:b/>
          <w:sz w:val="20"/>
        </w:rPr>
        <w:t>Mail directly to:</w:t>
      </w:r>
      <w:r>
        <w:rPr>
          <w:rFonts w:cs="Times New Roman;Times New Roman" w:ascii="Times New Roman;Times New Roman" w:hAnsi="Times New Roman;Times New Roman"/>
          <w:sz w:val="20"/>
        </w:rPr>
        <w:t xml:space="preserve"> Electric Utility Consultants Inc.; 5555 Preserve Drive, Greenwood Village, Colorado 80121</w:t>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    </w:t>
      </w:r>
      <w:r>
        <w:rPr>
          <w:rFonts w:cs="Times New Roman;Times New Roman" w:ascii="Times New Roman;Times New Roman" w:hAnsi="Times New Roman;Times New Roman"/>
          <w:sz w:val="20"/>
        </w:rPr>
        <w:t xml:space="preserve">Telephone (303)770-8800; Fax (303)741-0849 </w:t>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www.euci.com</w:t>
      </w:r>
    </w:p>
    <w:p>
      <w:pPr>
        <w:pStyle w:val="BodyTextIndent"/>
        <w:tabs>
          <w:tab w:val="left" w:pos="-720" w:leader="none"/>
          <w:tab w:val="left" w:pos="0" w:leader="none"/>
        </w:tabs>
        <w:ind w:start="-720" w:end="720"/>
        <w:jc w:val="cente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sectPr>
      <w:type w:val="continuous"/>
      <w:pgSz w:w="12240" w:h="15840"/>
      <w:pgMar w:left="1440" w:right="1440" w:gutter="0" w:header="0" w:top="864"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w:charset w:val="00" w:characterSet="windows-1252"/>
    <w:family w:val="swiss"/>
    <w:pitch w:val="variable"/>
  </w:font>
  <w:font w:name="Times New Roman">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Times New Roman" w:cs="Courier;Courier New"/>
      <w:color w:val="auto"/>
      <w:sz w:val="24"/>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center"/>
      <w:outlineLvl w:val="0"/>
    </w:pPr>
    <w:rPr>
      <w:b/>
    </w:rPr>
  </w:style>
  <w:style w:type="paragraph" w:styleId="Heading2">
    <w:name w:val="heading 2"/>
    <w:basedOn w:val="Normal"/>
    <w:next w:val="Normal"/>
    <w:qFormat/>
    <w:pPr>
      <w:keepNext w:val="true"/>
      <w:keepLines/>
      <w:numPr>
        <w:ilvl w:val="1"/>
        <w:numId w:val="1"/>
      </w:numPr>
      <w:tabs>
        <w:tab w:val="clear" w:pos="720"/>
        <w:tab w:val="left" w:pos="-720" w:leader="none"/>
      </w:tabs>
      <w:suppressAutoHyphens w:val="true"/>
      <w:outlineLvl w:val="1"/>
    </w:pPr>
    <w:rPr>
      <w:i/>
      <w:u w:val="single"/>
    </w:rPr>
  </w:style>
  <w:style w:type="paragraph" w:styleId="Heading3">
    <w:name w:val="heading 3"/>
    <w:basedOn w:val="Normal"/>
    <w:next w:val="Normal"/>
    <w:qFormat/>
    <w:pPr>
      <w:keepNext w:val="true"/>
      <w:keepLines/>
      <w:numPr>
        <w:ilvl w:val="2"/>
        <w:numId w:val="1"/>
      </w:numPr>
      <w:tabs>
        <w:tab w:val="clear" w:pos="720"/>
        <w:tab w:val="left" w:pos="-720" w:leader="none"/>
      </w:tabs>
      <w:suppressAutoHyphens w:val="true"/>
      <w:outlineLvl w:val="2"/>
    </w:pPr>
    <w:rPr>
      <w:rFonts w:ascii="Arial;Arial" w:hAnsi="Arial;Arial" w:cs="Arial;Arial"/>
    </w:rPr>
  </w:style>
  <w:style w:type="paragraph" w:styleId="Heading4">
    <w:name w:val="heading 4"/>
    <w:basedOn w:val="Normal"/>
    <w:next w:val="Normal"/>
    <w:qFormat/>
    <w:pPr>
      <w:keepNext w:val="true"/>
      <w:keepLines/>
      <w:numPr>
        <w:ilvl w:val="3"/>
        <w:numId w:val="1"/>
      </w:numPr>
      <w:tabs>
        <w:tab w:val="clear" w:pos="720"/>
        <w:tab w:val="left" w:pos="-720" w:leader="none"/>
      </w:tabs>
      <w:suppressAutoHyphens w:val="true"/>
      <w:outlineLvl w:val="3"/>
    </w:pPr>
    <w:rPr>
      <w:rFonts w:ascii="Arial;Arial" w:hAnsi="Arial;Arial" w:cs="Arial;Arial"/>
      <w:b/>
    </w:rPr>
  </w:style>
  <w:style w:type="paragraph" w:styleId="Heading5">
    <w:name w:val="heading 5"/>
    <w:basedOn w:val="Normal"/>
    <w:next w:val="Normal"/>
    <w:qFormat/>
    <w:pPr>
      <w:numPr>
        <w:ilvl w:val="4"/>
        <w:numId w:val="1"/>
      </w:numPr>
      <w:tabs>
        <w:tab w:val="clear" w:pos="720"/>
        <w:tab w:val="left" w:pos="-720" w:leader="none"/>
      </w:tabs>
      <w:suppressAutoHyphens w:val="true"/>
      <w:outlineLvl w:val="4"/>
    </w:pPr>
    <w:rPr>
      <w:rFonts w:ascii="Arial;Arial" w:hAnsi="Arial;Arial" w:cs="Arial;Arial"/>
      <w:sz w:val="22"/>
    </w:rPr>
  </w:style>
  <w:style w:type="paragraph" w:styleId="Heading6">
    <w:name w:val="heading 6"/>
    <w:basedOn w:val="Normal"/>
    <w:next w:val="Normal"/>
    <w:qFormat/>
    <w:pPr>
      <w:numPr>
        <w:ilvl w:val="5"/>
        <w:numId w:val="1"/>
      </w:numPr>
      <w:tabs>
        <w:tab w:val="clear" w:pos="720"/>
        <w:tab w:val="left" w:pos="-720" w:leader="none"/>
      </w:tabs>
      <w:suppressAutoHyphens w:val="true"/>
      <w:outlineLvl w:val="5"/>
    </w:pPr>
    <w:rPr>
      <w:rFonts w:ascii="Times New Roman;Times New Roman" w:hAnsi="Times New Roman;Times New Roman" w:cs="Times New Roman;Times New Roman"/>
      <w:i/>
      <w:sz w:val="22"/>
    </w:rPr>
  </w:style>
  <w:style w:type="character" w:styleId="DefaultParagraphFont">
    <w:name w:val="Default Paragraph Font"/>
    <w:qFormat/>
    <w:rPr/>
  </w:style>
  <w:style w:type="character" w:styleId="EndnoteCharacters">
    <w:name w:val="Endnote Characters"/>
    <w:basedOn w:val="DefaultParagraphFont"/>
    <w:qFormat/>
    <w:rPr>
      <w:rFonts w:ascii="Courier;Courier New" w:hAnsi="Courier;Courier New" w:cs="Courier;Courier New"/>
      <w:sz w:val="24"/>
      <w:vertAlign w:val="superscript"/>
      <w:lang w:val="en-US"/>
    </w:rPr>
  </w:style>
  <w:style w:type="character" w:styleId="FootnoteCharacters">
    <w:name w:val="Footnote Characters"/>
    <w:basedOn w:val="DefaultParagraphFont"/>
    <w:qFormat/>
    <w:rPr>
      <w:rFonts w:ascii="Courier;Courier New" w:hAnsi="Courier;Courier New" w:cs="Courier;Courier New"/>
      <w:sz w:val="24"/>
      <w:vertAlign w:val="superscript"/>
      <w:lang w:val="en-US"/>
    </w:rPr>
  </w:style>
  <w:style w:type="character" w:styleId="DefaultParagraphFo">
    <w:name w:val="Default Paragraph Fo"/>
    <w:basedOn w:val="DefaultParagraphFont"/>
    <w:qFormat/>
    <w:rPr/>
  </w:style>
  <w:style w:type="character" w:styleId="PageNumber">
    <w:name w:val="page number"/>
    <w:basedOn w:val="DefaultParagraphFon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style>
  <w:style w:type="character" w:styleId="Technical3">
    <w:name w:val="Technical 3"/>
    <w:basedOn w:val="DefaultParagraphFont"/>
    <w:qFormat/>
    <w:rPr/>
  </w:style>
  <w:style w:type="character" w:styleId="Technical4">
    <w:name w:val="Technical 4"/>
    <w:basedOn w:val="DefaultParagraphFont"/>
    <w:qFormat/>
    <w:rPr/>
  </w:style>
  <w:style w:type="character" w:styleId="Technical1">
    <w:name w:val="Technical 1"/>
    <w:basedOn w:val="DefaultParagraphFont"/>
    <w:qFormat/>
    <w:rPr/>
  </w:style>
  <w:style w:type="character" w:styleId="Technical7">
    <w:name w:val="Technical 7"/>
    <w:basedOn w:val="DefaultParagraphFont"/>
    <w:qFormat/>
    <w:rPr/>
  </w:style>
  <w:style w:type="character" w:styleId="Technical8">
    <w:name w:val="Technical 8"/>
    <w:basedOn w:val="DefaultParagraphFont"/>
    <w:qFormat/>
    <w:rPr/>
  </w:style>
  <w:style w:type="character" w:styleId="Unnamed1">
    <w:name w:val="Unnamed 1"/>
    <w:basedOn w:val="DefaultParagraphFont"/>
    <w:qFormat/>
    <w:rPr/>
  </w:style>
  <w:style w:type="character" w:styleId="EquationCaption">
    <w:name w:val="_Equation Caption"/>
    <w:basedOn w:val="DefaultParagraphFont"/>
    <w:qFormat/>
    <w:rPr/>
  </w:style>
  <w:style w:type="character" w:styleId="EquationCaption1">
    <w:name w:val="_Equation Caption1"/>
    <w:basedOn w:val="DefaultParagraphFont"/>
    <w:qFormat/>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RightPar1a">
    <w:name w:val="Right Par 1a"/>
    <w:basedOn w:val="DefaultParagraphFont"/>
    <w:qFormat/>
    <w:rPr/>
  </w:style>
  <w:style w:type="character" w:styleId="RightPar2a">
    <w:name w:val="Right Par 2a"/>
    <w:basedOn w:val="DefaultParagraphFont"/>
    <w:qFormat/>
    <w:rPr/>
  </w:style>
  <w:style w:type="character" w:styleId="Document3a">
    <w:name w:val="Document 3a"/>
    <w:basedOn w:val="DefaultParagraphFont"/>
    <w:qFormat/>
    <w:rPr/>
  </w:style>
  <w:style w:type="character" w:styleId="RightPar3a">
    <w:name w:val="Right Par 3a"/>
    <w:basedOn w:val="DefaultParagraphFont"/>
    <w:qFormat/>
    <w:rPr/>
  </w:style>
  <w:style w:type="character" w:styleId="RightPar4a">
    <w:name w:val="Right Par 4a"/>
    <w:basedOn w:val="DefaultParagraphFont"/>
    <w:qFormat/>
    <w:rPr/>
  </w:style>
  <w:style w:type="character" w:styleId="RightPar5a">
    <w:name w:val="Right Par 5a"/>
    <w:basedOn w:val="DefaultParagraphFont"/>
    <w:qFormat/>
    <w:rPr/>
  </w:style>
  <w:style w:type="character" w:styleId="RightPar6a">
    <w:name w:val="Right Par 6a"/>
    <w:basedOn w:val="DefaultParagraphFont"/>
    <w:qFormat/>
    <w:rPr/>
  </w:style>
  <w:style w:type="character" w:styleId="RightPar7a">
    <w:name w:val="Right Par 7a"/>
    <w:basedOn w:val="DefaultParagraphFont"/>
    <w:qFormat/>
    <w:rPr/>
  </w:style>
  <w:style w:type="character" w:styleId="RightPar8a">
    <w:name w:val="Right Par 8a"/>
    <w:basedOn w:val="DefaultParagraphFont"/>
    <w:qFormat/>
    <w:rPr/>
  </w:style>
  <w:style w:type="character" w:styleId="Technical5a">
    <w:name w:val="Technical 5a"/>
    <w:basedOn w:val="DefaultParagraphFont"/>
    <w:qFormat/>
    <w:rPr/>
  </w:style>
  <w:style w:type="character" w:styleId="Technical6a">
    <w:name w:val="Technical 6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4a">
    <w:name w:val="Technical 4a"/>
    <w:basedOn w:val="DefaultParagraphFont"/>
    <w:qFormat/>
    <w:rPr/>
  </w:style>
  <w:style w:type="character" w:styleId="Technical1a">
    <w:name w:val="Technical 1a"/>
    <w:basedOn w:val="DefaultParagraphFont"/>
    <w:qFormat/>
    <w:rPr/>
  </w:style>
  <w:style w:type="character" w:styleId="Technical7a">
    <w:name w:val="Technical 7a"/>
    <w:basedOn w:val="DefaultParagraphFont"/>
    <w:qFormat/>
    <w:rPr/>
  </w:style>
  <w:style w:type="character" w:styleId="Technical8a">
    <w:name w:val="Technical 8a"/>
    <w:basedOn w:val="DefaultParagraphFont"/>
    <w:qFormat/>
    <w:rPr/>
  </w:style>
  <w:style w:type="character" w:styleId="Unnamed1a">
    <w:name w:val="Unnamed 1a"/>
    <w:basedOn w:val="DefaultParagraphFont"/>
    <w:qFormat/>
    <w:rPr/>
  </w:style>
  <w:style w:type="character" w:styleId="EquationCaption2">
    <w:name w:val="_Equation Caption2"/>
    <w:basedOn w:val="DefaultParagraphFont"/>
    <w:qFormat/>
    <w:rPr/>
  </w:style>
  <w:style w:type="character" w:styleId="EquationCaption3">
    <w:name w:val="_Equation Caption3"/>
    <w:qFormat/>
    <w:rPr/>
  </w:style>
  <w:style w:type="paragraph" w:styleId="Heading">
    <w:name w:val="Heading"/>
    <w:basedOn w:val="Normal"/>
    <w:next w:val="BodyText"/>
    <w:qFormat/>
    <w:pPr>
      <w:tabs>
        <w:tab w:val="clear" w:pos="720"/>
        <w:tab w:val="left" w:pos="-720" w:leader="none"/>
      </w:tabs>
      <w:suppressAutoHyphens w:val="true"/>
      <w:jc w:val="center"/>
    </w:pPr>
    <w:rPr>
      <w:b/>
    </w:rPr>
  </w:style>
  <w:style w:type="paragraph" w:styleId="BodyText">
    <w:name w:val="Body Text"/>
    <w:basedOn w:val="Normal"/>
    <w:pPr>
      <w:tabs>
        <w:tab w:val="clear" w:pos="720"/>
        <w:tab w:val="left" w:pos="0" w:leader="none"/>
      </w:tabs>
      <w:suppressAutoHyphens w:val="true"/>
      <w:jc w:val="center"/>
    </w:pPr>
    <w:rPr>
      <w:rFonts w:ascii="Times New Roman;Times New Roman" w:hAnsi="Times New Roman;Times New Roman" w:cs="Times New Roman;Times New Roman"/>
      <w:b/>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0" w:leader="none"/>
      </w:tabs>
      <w:suppressAutoHyphens w:val="true"/>
    </w:pPr>
    <w:rPr/>
  </w:style>
  <w:style w:type="paragraph" w:styleId="FootnoteText">
    <w:name w:val="footnote text"/>
    <w:basedOn w:val="Normal"/>
    <w:pPr>
      <w:tabs>
        <w:tab w:val="clear" w:pos="720"/>
        <w:tab w:val="left" w:pos="0" w:leader="none"/>
      </w:tabs>
      <w:suppressAutoHyphens w:val="true"/>
    </w:pPr>
    <w:rPr/>
  </w:style>
  <w:style w:type="paragraph" w:styleId="BodyTextIndent">
    <w:name w:val="Body Text Indent"/>
    <w:basedOn w:val="Normal"/>
    <w:pPr>
      <w:tabs>
        <w:tab w:val="clear" w:pos="720"/>
        <w:tab w:val="left" w:pos="-72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right" w:pos="8640" w:leader="none"/>
      </w:tabs>
      <w:suppressAutoHyphens w:val="true"/>
    </w:pPr>
    <w:rPr/>
  </w:style>
  <w:style w:type="paragraph" w:styleId="Footer">
    <w:name w:val="footer"/>
    <w:basedOn w:val="Normal"/>
    <w:pPr>
      <w:tabs>
        <w:tab w:val="clear" w:pos="720"/>
        <w:tab w:val="left" w:pos="0" w:leader="none"/>
        <w:tab w:val="right" w:pos="8640" w:leader="none"/>
      </w:tabs>
      <w:suppressAutoHyphens w:val="true"/>
    </w:pPr>
    <w:rPr/>
  </w:style>
  <w:style w:type="paragraph" w:styleId="Document1">
    <w:name w:val="Document 1"/>
    <w:qFormat/>
    <w:pPr>
      <w:keepNext w:val="true"/>
      <w:keepLines/>
      <w:widowControl w:val="false"/>
      <w:tabs>
        <w:tab w:val="clear" w:pos="720"/>
        <w:tab w:val="left" w:pos="0" w:leader="none"/>
      </w:tabs>
      <w:suppressAutoHyphens w:val="true"/>
      <w:bidi w:val="0"/>
    </w:pPr>
    <w:rPr>
      <w:rFonts w:ascii="Courier;Courier New" w:hAnsi="Courier;Courier New" w:eastAsia="Times New Roman;Times New Roman" w:cs="Courier;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Document1a">
    <w:name w:val="Document 1a"/>
    <w:qFormat/>
    <w:pPr>
      <w:keepNext w:val="true"/>
      <w:keepLines/>
      <w:widowControl w:val="false"/>
      <w:tabs>
        <w:tab w:val="clear" w:pos="720"/>
        <w:tab w:val="left" w:pos="0" w:leader="none"/>
      </w:tabs>
      <w:suppressAutoHyphens w:val="true"/>
      <w:bidi w:val="0"/>
    </w:pPr>
    <w:rPr>
      <w:rFonts w:ascii="Courier;Courier New" w:hAnsi="Courier;Courier New" w:eastAsia="Times New Roman;Times New Roman" w:cs="Courier;Courier New"/>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2000-04-24T01:19:00Z</dcterms:created>
  <dc:creator>Jim August</dc:creator>
  <dc:description/>
  <dc:language>en-CA</dc:language>
  <cp:lastModifiedBy>Compaq</cp:lastModifiedBy>
  <dcterms:modified xsi:type="dcterms:W3CDTF">2000-04-24T20:15:00Z</dcterms:modified>
  <cp:revision>5</cp:revision>
  <dc:subject/>
  <dc:title>Legacy Generation RCM Conference</dc:title>
</cp:coreProperties>
</file>