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Taking Power Trading and Risk Management to the Next Level</w:t>
      </w:r>
      <w:r>
        <w:rPr>
          <w:rStyle w:val="FootnoteCharacters"/>
          <w:b/>
          <w:sz w:val="28"/>
        </w:rPr>
        <w:t xml:space="preserve"> </w:t>
      </w:r>
    </w:p>
    <w:p>
      <w:pPr>
        <w:pStyle w:val="Heading1"/>
        <w:ind w:hanging="0" w:start="0"/>
        <w:rPr/>
      </w:pPr>
      <w:r>
        <w:rPr/>
        <w:t>Martin Jermakyan</w:t>
      </w:r>
    </w:p>
    <w:p>
      <w:pPr>
        <w:pStyle w:val="Normal"/>
        <w:jc w:val="center"/>
        <w:rPr>
          <w:b/>
          <w:sz w:val="24"/>
        </w:rPr>
      </w:pPr>
      <w:r>
        <w:rPr>
          <w:b/>
          <w:sz w:val="24"/>
        </w:rPr>
        <w:t>ElectraPartners.com</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pPr>
      <w:r>
        <w:rPr>
          <w:sz w:val="22"/>
        </w:rPr>
        <w:t>The nature of power as a commodity makes power marketing and trading complex and challenging.  Most important, the non-storability of power, operational limitations on production and transmission capacity, and the fast formation of supply shocks and decay rates of demand shocks are the primary sources of complexity. These factors contributed to the huge spikes in power prices observed in the last couple of summers.</w:t>
      </w:r>
      <w:r>
        <w:rPr>
          <w:rStyle w:val="FootnoteCharacters"/>
          <w:rStyle w:val="FootnoteReference"/>
          <w:sz w:val="22"/>
        </w:rPr>
        <w:footnoteReference w:id="2"/>
      </w:r>
      <w:r>
        <w:rPr>
          <w:sz w:val="22"/>
        </w:rPr>
        <w:t xml:space="preserve">  These events have served to demonstrate the insufficiency of adequate generation and transmission assets in many regions. This, in turn, has spurred interest in purchasing and investing in generating capacity and has created a demand for means to value such assets.  Finally, the price spikes have made it abundantly clear that price risk management in the power industry must be improved dramatically. They have also made clear the importance of improved credit risk management mechanism for the entire market. Moreover, it is clear that credit risk evaluation and management, price risk evaluation and management, and investment analysis are intimately related and must be undertaken in an integrated fashion.  </w:t>
      </w:r>
    </w:p>
    <w:p>
      <w:pPr>
        <w:pStyle w:val="Normal"/>
        <w:jc w:val="both"/>
        <w:rPr>
          <w:sz w:val="22"/>
        </w:rPr>
      </w:pPr>
      <w:r>
        <w:rPr>
          <w:sz w:val="22"/>
        </w:rPr>
      </w:r>
    </w:p>
    <w:p>
      <w:pPr>
        <w:pStyle w:val="BodyText2"/>
        <w:jc w:val="both"/>
        <w:rPr/>
      </w:pPr>
      <w:r>
        <w:rPr/>
        <w:t xml:space="preserve">Immediately after the above mentioned events, the process of mergers and acquisition of generation assets intensified.  Also, the spikes gave an impetus to designing and building new generation assets - primarily gas peakers. These events also raised industry interest in the pricing of generation assets, since owning generation assets in a deregulated market is equivalent of owning an option to produce power at a cost, and sell it at the market price, rather than at a fixed price.  Exploiting and valuing this optionality will play an important part of strategic investment decisions of power generating and marketing companies.  The spikes also showed that inaccurate scheduling of power plant maintenance could be very costly. </w:t>
      </w:r>
    </w:p>
    <w:p>
      <w:pPr>
        <w:pStyle w:val="Normal"/>
        <w:jc w:val="both"/>
        <w:rPr>
          <w:sz w:val="22"/>
        </w:rPr>
      </w:pPr>
      <w:r>
        <w:rPr>
          <w:sz w:val="22"/>
        </w:rPr>
      </w:r>
    </w:p>
    <w:p>
      <w:pPr>
        <w:pStyle w:val="Normal"/>
        <w:jc w:val="both"/>
        <w:rPr/>
      </w:pPr>
      <w:r>
        <w:rPr>
          <w:sz w:val="22"/>
        </w:rPr>
        <w:t>We have also learned that transmission constraints may aggravate conditions of inadequate supply in particular regions. The failure to deliver power from other areas may create a power price crisis in the areas that rely on external resources.  No matter how reliable transmission lines become from the engineering point of view, there are always going to be transmission failures due to events beyond human control, such as thunderstorms or tornadoes.</w:t>
      </w:r>
      <w:r>
        <w:rPr>
          <w:rStyle w:val="FootnoteCharacters"/>
          <w:rStyle w:val="FootnoteReference"/>
          <w:sz w:val="22"/>
        </w:rPr>
        <w:footnoteReference w:id="3"/>
      </w:r>
      <w:r>
        <w:rPr>
          <w:sz w:val="22"/>
        </w:rPr>
        <w:t xml:space="preserve">  How this risk is managed, however, is within human control.  Investors may decide to live with this risk, or they may do something to mitigate or manage it. Commodization of transmission lines, and the issuance of financial instruments associated with this commodity, play an important part in this process of management and mitigation. The regulatory advances in the area of transmission commodization may stimulate exploration and further structuring of optionalities embedded in transmission contracts.  Trading in transmission will also facilitate valuation of transmission assets, and provide a framework for strategic investment decisions in power transmission capacity. It remains to be seen how rapidly a real commodization of transmission capacity, and the development of secondary markets of transmission backed products will take place. But it is clear that in a proper regulatory environment players will enter who will bear transmission price risk in exchange for a risk premium. </w:t>
      </w:r>
    </w:p>
    <w:p>
      <w:pPr>
        <w:pStyle w:val="BodyText2"/>
        <w:jc w:val="both"/>
        <w:rPr/>
      </w:pPr>
      <w:r>
        <w:rPr/>
        <w:t xml:space="preserve">We frequently hear about the lack of transparent current and historic price information in power markets.  This issue has a couple of dimensions. First, the better price discovery is always made available in the presence of exchange traded products.  A few exchanges have posted products associated with power markets at particular hubs, but some of them have not been able to generate adequate liquidity or volume of trade.  The disconnect between the physical and financial markets from the point of view of their trading and pricing is one of the reason of this failure. </w:t>
      </w:r>
    </w:p>
    <w:p>
      <w:pPr>
        <w:pStyle w:val="Normal"/>
        <w:jc w:val="both"/>
        <w:rPr>
          <w:sz w:val="22"/>
        </w:rPr>
      </w:pPr>
      <w:r>
        <w:rPr>
          <w:sz w:val="22"/>
        </w:rPr>
      </w:r>
    </w:p>
    <w:p>
      <w:pPr>
        <w:pStyle w:val="Normal"/>
        <w:jc w:val="both"/>
        <w:rPr/>
      </w:pPr>
      <w:r>
        <w:rPr>
          <w:sz w:val="22"/>
        </w:rPr>
        <w:t>An inexpensive way of achieving these results might be the maturation of online, electricity trading electronic exchanges. Such exchanges claim to improve price and volume discovery, reduce transactions and administrative costs, and so on.</w:t>
      </w:r>
      <w:r>
        <w:rPr>
          <w:rStyle w:val="FootnoteCharacters"/>
          <w:rStyle w:val="FootnoteReference"/>
          <w:sz w:val="22"/>
        </w:rPr>
        <w:footnoteReference w:id="4"/>
      </w:r>
      <w:r>
        <w:rPr>
          <w:sz w:val="22"/>
        </w:rPr>
        <w:t xml:space="preserve">  Until a robust default risk management mechanism is established in energy markets, these exchanges will serve only to match counterparties at posted bid-ask prices according to their credit categories. When such a mechanism is established, these exchanges will not only be a source of information, or a brokering operation, but may also provide a vehicle for market making, and will facilitate liquidity. </w:t>
      </w:r>
    </w:p>
    <w:p>
      <w:pPr>
        <w:pStyle w:val="Normal"/>
        <w:jc w:val="both"/>
        <w:rPr>
          <w:sz w:val="22"/>
        </w:rPr>
      </w:pPr>
      <w:r>
        <w:rPr>
          <w:sz w:val="22"/>
        </w:rPr>
      </w:r>
    </w:p>
    <w:p>
      <w:pPr>
        <w:pStyle w:val="Normal"/>
        <w:jc w:val="both"/>
        <w:rPr>
          <w:sz w:val="22"/>
        </w:rPr>
      </w:pPr>
      <w:r>
        <w:rPr>
          <w:sz w:val="22"/>
        </w:rPr>
        <w:t>A second dimension concerning the difficulties associated with the availability of historic information is related the fact that this kind of information is needed only if we are using pricing models based on price process dynamics.  Later in the text we will argue that we should take more fundamental approach.</w:t>
      </w:r>
    </w:p>
    <w:p>
      <w:pPr>
        <w:pStyle w:val="Normal"/>
        <w:jc w:val="both"/>
        <w:rPr>
          <w:sz w:val="22"/>
        </w:rPr>
      </w:pPr>
      <w:r>
        <w:rPr>
          <w:sz w:val="22"/>
        </w:rPr>
      </w:r>
    </w:p>
    <w:p>
      <w:pPr>
        <w:pStyle w:val="Normal"/>
        <w:jc w:val="both"/>
        <w:rPr/>
      </w:pPr>
      <w:r>
        <w:rPr>
          <w:sz w:val="22"/>
        </w:rPr>
        <w:t>Most market participants learned through painful experience the significance</w:t>
      </w:r>
      <w:r>
        <w:rPr>
          <w:b/>
          <w:sz w:val="22"/>
        </w:rPr>
        <w:t xml:space="preserve"> </w:t>
      </w:r>
      <w:r>
        <w:rPr>
          <w:sz w:val="22"/>
        </w:rPr>
        <w:t>of default risk in power markets.  From the point of view of risk sharing, it is in the best interests of the dissipation of price, generation and transmission capacity risks throughout the system, to have large number of participants in power markets. From the other side, power products are or should be very sensitive to counterparty default risk.  We have to admit that extremes like $7,500.00/MWh cannot be explained without consideration of credit issues. After all, any commodity may cost as much as the buyers are ready to pay for it.  Any counterparty, short electricity supply under extreme circumstances has the option to repurchase it at the market price (whatever that may be)</w:t>
      </w:r>
      <w:r>
        <w:rPr>
          <w:b/>
          <w:sz w:val="22"/>
        </w:rPr>
        <w:t>,</w:t>
      </w:r>
      <w:r>
        <w:rPr>
          <w:sz w:val="22"/>
        </w:rPr>
        <w:t xml:space="preserve"> or to default.  Obviously, there is a substantial cost associated with default.  Default may imply loss of credit rating, and hence higher borrowing costs. It may also cause erosion of the defaulter’s customer base.  Therefore the price of this option to default may be indicative of the price the buyer is ready to pay to purchase power under these circumstances.  Along these lines, there is a credit premium implicitly embedded in the above-mentioned price. </w:t>
      </w:r>
    </w:p>
    <w:p>
      <w:pPr>
        <w:pStyle w:val="Normal"/>
        <w:jc w:val="both"/>
        <w:rPr>
          <w:sz w:val="22"/>
        </w:rPr>
      </w:pPr>
      <w:r>
        <w:rPr>
          <w:sz w:val="22"/>
        </w:rPr>
      </w:r>
    </w:p>
    <w:p>
      <w:pPr>
        <w:pStyle w:val="BodyText2"/>
        <w:jc w:val="both"/>
        <w:rPr/>
      </w:pPr>
      <w:r>
        <w:rPr/>
        <w:t>Finally, the power market as a deregulated entity is a new phenomenon. There are no established standards in the area of quantitative risk management and system trading, yet. It is widely believed, however, that modern days power products must be priced using financial options technology.   The irony is that some of the most popular products of power markets, such as Full Requirement Deals, have always had options embedded in them. Traditionally, these options have been given away for free.  As we have witnessed lately, these giveaways may turn to be catastrophically costly. There is an increasing awareness, though, that it is necessary to charge an adequate premium for the embedded options. This premium has to be at least partially used to hedge the positions against the embedded risks.  Solution of these problems will require an improvement in quantitative methods in power markets.  The lack of satisfactory history and transparency of power prices poses challenges to traditional (and largely mechanical) quantitative modeling techniques.  The absence of realistic, widely accepted</w:t>
      </w:r>
      <w:r>
        <w:rPr>
          <w:rStyle w:val="FootnoteCharacters"/>
        </w:rPr>
        <w:t xml:space="preserve"> </w:t>
      </w:r>
      <w:r>
        <w:rPr/>
        <w:t xml:space="preserve">quantitative methods largely explains the existing disconnect between the pricing of physical and financial power market products.  It must be admitted, though, that current, publicly known quantitative methods are inadequate for the power market.  </w:t>
      </w:r>
    </w:p>
    <w:p>
      <w:pPr>
        <w:pStyle w:val="BodyText2"/>
        <w:jc w:val="both"/>
        <w:rPr/>
      </w:pPr>
      <w:r>
        <w:rPr/>
      </w:r>
    </w:p>
    <w:p>
      <w:pPr>
        <w:pStyle w:val="BodyText2"/>
        <w:jc w:val="both"/>
        <w:rPr/>
      </w:pPr>
      <w:r>
        <w:rPr/>
        <w:t>To the present, analysts have attempted to utilize models widely used in financial markets to price products of power markets, and have frequently done so in an almost mechanical way.  These models may serve as a stopgap for the time being, and at most they should serve as only a quoting convention in the future.  For the industry to evolve, however, it will be necessary for quantitative methods to evolve as well.  The new quantitative methods must be predicated on an understanding that power is a unique commodity.</w:t>
      </w:r>
      <w:r>
        <w:rPr>
          <w:rStyle w:val="FootnoteCharacters"/>
          <w:rStyle w:val="FootnoteReference"/>
        </w:rPr>
        <w:footnoteReference w:id="5"/>
      </w:r>
      <w:r>
        <w:rPr/>
        <w:t xml:space="preserve"> Therefore, this market will require power-commodity specific analytics. Application and implementation of a power-specific approach is quite realistic and, in fact, will be more robust than a methodology that employs models widely used in financial markets. </w:t>
      </w:r>
    </w:p>
    <w:p>
      <w:pPr>
        <w:pStyle w:val="BodyText2"/>
        <w:jc w:val="both"/>
        <w:rPr/>
      </w:pPr>
      <w:r>
        <w:rPr/>
      </w:r>
    </w:p>
    <w:p>
      <w:pPr>
        <w:pStyle w:val="BodyText2"/>
        <w:jc w:val="both"/>
        <w:rPr/>
      </w:pPr>
      <w:r>
        <w:rPr/>
        <w:t xml:space="preserve">A partial explanation of this realism results from the high degree of stationarity of power market fundamentals.  In traditional financial markets it is very difficult to observe and quantify the supply and demand factors. For example, the disruption of equilibrium in interest rate or currency markets may happen for numbers of reasons.  Events in Asia or Russia may have a dramatic impact on the US dollar.  It is difficult to characterize or quantify these complex interactions of fundamentals.  As a result, quantitative methods in financial markets have avoided any effort to analyze fundamentals, but have treated the price process itself as the phenomenon of interest.  </w:t>
      </w:r>
    </w:p>
    <w:p>
      <w:pPr>
        <w:pStyle w:val="BodyText2"/>
        <w:jc w:val="both"/>
        <w:rPr/>
      </w:pPr>
      <w:r>
        <w:rPr/>
      </w:r>
    </w:p>
    <w:p>
      <w:pPr>
        <w:pStyle w:val="BodyText2"/>
        <w:jc w:val="both"/>
        <w:rPr/>
      </w:pPr>
      <w:r>
        <w:rPr/>
        <w:t>This has worked well because for the most part, price processes in financial markets are well-behaved and readily analyzed using standard techniques first developed in physical sciences and engineering. In contrast, power price processes are extremely messy and cannot be characterized using standard models and techniques.  However, fundamentals in the power market are highly transparent.  In power markets one can readily identify the few factors that determine supply and demand equilibrium.  Moreover, one can obtain extensive historic demand and cost information databases on the level of each region and each plant and unit.  Much of this data is in the public domain.  One of the incredible characteristics of power markets, as evidenced by the data mentioned above, is the great degree of its stationarity.  Therefore, in power markets it is appropriate to build pricing and risk management analytics from the fundamentals up, whereas this approach makes no sense in financial markets. As a consequence, in power markets it will be possible to build very robust risk management systems, including, for instance, a reliable analog of the highly suspect traditional VaR system in financial industry.</w:t>
      </w:r>
      <w:r>
        <w:rPr>
          <w:rStyle w:val="FootnoteCharacters"/>
          <w:rStyle w:val="FootnoteReference"/>
        </w:rPr>
        <w:footnoteReference w:id="6"/>
      </w:r>
    </w:p>
    <w:p>
      <w:pPr>
        <w:pStyle w:val="BodyText2"/>
        <w:jc w:val="both"/>
        <w:rPr/>
      </w:pPr>
      <w:r>
        <w:rPr/>
      </w:r>
    </w:p>
    <w:p>
      <w:pPr>
        <w:pStyle w:val="BodyText2"/>
        <w:jc w:val="both"/>
        <w:rPr/>
      </w:pPr>
      <w:r>
        <w:rPr/>
        <w:t xml:space="preserve">This exercise is practical in large part because power fundamentals are well behaved.  Demand is largely driven by weather – temperature and humidity.  Weather and load exhibit predictable seasonal patterns that can be characterized with sufficient accuracy.  Moreover, there is a strong relation between fundamentals and prices. Exploitation of these factors as drivers in quantitative models will capture the salient features of power prices.  With the right quantitative techniques and the right hardware environment, these models can be implemented practically and efficiently. </w:t>
      </w:r>
    </w:p>
    <w:p>
      <w:pPr>
        <w:pStyle w:val="BodyText2"/>
        <w:jc w:val="both"/>
        <w:rPr/>
      </w:pPr>
      <w:r>
        <w:rPr/>
      </w:r>
    </w:p>
    <w:p>
      <w:pPr>
        <w:pStyle w:val="BodyText2"/>
        <w:jc w:val="both"/>
        <w:rPr/>
      </w:pPr>
      <w:r>
        <w:rPr/>
        <w:t xml:space="preserve">Among other specific characteristic of power price dynamics is the speed of development of price surges, and the decay rate of these surges.  No other commodity exhibits such behavior. While we believe that under known circumstances, the power prices may be much higher than what they normally are, we strongly believe that the observed astronomic prices are driven not by the economic and market fundamentals, but rather by operational oversights. </w:t>
      </w:r>
    </w:p>
    <w:p>
      <w:pPr>
        <w:pStyle w:val="Normal"/>
        <w:jc w:val="both"/>
        <w:rPr>
          <w:b/>
          <w:sz w:val="22"/>
        </w:rPr>
      </w:pPr>
      <w:r>
        <w:rPr>
          <w:b/>
          <w:sz w:val="22"/>
        </w:rPr>
      </w:r>
    </w:p>
    <w:p>
      <w:pPr>
        <w:pStyle w:val="BodyText2"/>
        <w:jc w:val="both"/>
        <w:rPr/>
      </w:pPr>
      <w:r>
        <w:rPr/>
        <w:t xml:space="preserve">The products of energy markets, and especially power markets, are significantly mispriced. These products don’t exist in isolation from products in other markets, but are parts of much broader ones. It will take years until the prices in energy markets are brought in line in the sense of cross-market opportunities. Meanwhile, there are going to be ample trading opportunities, and integrated valuation is going to be a theoretical tool for identifying these opportunities. </w:t>
      </w:r>
    </w:p>
    <w:p>
      <w:pPr>
        <w:pStyle w:val="BodyText2"/>
        <w:jc w:val="both"/>
        <w:rPr/>
      </w:pPr>
      <w:r>
        <w:rPr/>
      </w:r>
    </w:p>
    <w:p>
      <w:pPr>
        <w:pStyle w:val="BodyText2"/>
        <w:jc w:val="both"/>
        <w:rPr/>
      </w:pPr>
      <w:r>
        <w:rPr/>
        <w:t xml:space="preserve">We also need to emphasize the need of integrated valuation of physical and financial products of power markets. The existing disconnect between the pricing of physicals and financial products would be especially dangerous close to the expiration of the financial products. This may be not so noticeable, if the owners of financial products get out of their positions early and in an inexpensive way.  But this ability requires adequate liquidity and narrow bid-ask spread, which is not the case in power markets, at least for now, and most likely, few large players can monopolize the trading process in the periods close to expiration, if serious attention is not paid to this fact. </w:t>
      </w:r>
    </w:p>
    <w:p>
      <w:pPr>
        <w:pStyle w:val="BodyText2"/>
        <w:jc w:val="both"/>
        <w:rPr/>
      </w:pPr>
      <w:r>
        <w:rPr/>
      </w:r>
    </w:p>
    <w:p>
      <w:pPr>
        <w:pStyle w:val="BodyText2"/>
        <w:jc w:val="both"/>
        <w:rPr/>
      </w:pPr>
      <w:r>
        <w:rPr/>
        <w:t xml:space="preserve">Integration is important for other reasons.  For instance, a generator’s revenue depends on both quantity and price. Since many power market participants face load-sensitive risks, valuation approaches must graft a quantity process to a price process to take this into account.  Integrated valuation based on fundamentals allows integrated valuation of price and load sensitive claims without resorting to </w:t>
      </w:r>
      <w:r>
        <w:rPr>
          <w:i/>
        </w:rPr>
        <w:t>ad hoc</w:t>
      </w:r>
      <w:r>
        <w:rPr/>
        <w:t xml:space="preserve"> approaches.</w:t>
      </w:r>
    </w:p>
    <w:p>
      <w:pPr>
        <w:pStyle w:val="BodyText2"/>
        <w:jc w:val="both"/>
        <w:rPr/>
      </w:pPr>
      <w:r>
        <w:rPr/>
      </w:r>
    </w:p>
    <w:p>
      <w:pPr>
        <w:pStyle w:val="BodyText2"/>
        <w:jc w:val="both"/>
        <w:rPr/>
      </w:pPr>
      <w:r>
        <w:rPr/>
        <w:t>As we have mentioned before, credit risk is very significant in the power markets. Successful</w:t>
      </w:r>
      <w:r>
        <w:rPr>
          <w:b/>
        </w:rPr>
        <w:t xml:space="preserve"> </w:t>
      </w:r>
      <w:r>
        <w:rPr/>
        <w:t>management of this risk requires availability of credit-related instruments and not esoteric scoring numbers or inadequate or expensive collateral.</w:t>
      </w:r>
      <w:r>
        <w:rPr>
          <w:rStyle w:val="FootnoteCharacters"/>
          <w:rStyle w:val="FootnoteReference"/>
        </w:rPr>
        <w:footnoteReference w:id="7"/>
      </w:r>
      <w:r>
        <w:rPr/>
        <w:t xml:space="preserve">  Further integration of power and credit derivatives markets may evolve in stages.  First, the power marketers may seek credit protection in structured corporate debt instruments with embedded options.</w:t>
      </w:r>
      <w:r>
        <w:rPr>
          <w:rStyle w:val="FootnoteCharacters"/>
          <w:rStyle w:val="FootnoteReference"/>
        </w:rPr>
        <w:footnoteReference w:id="8"/>
      </w:r>
      <w:r>
        <w:rPr/>
        <w:t xml:space="preserve"> As the markets evolve further, credit provisions may become integral parts of energy deals.  Eventually, with the progress of quantitative models and systems, real time deals will be made with the consideration of each conterparties credit profile. Under these circumstances everyone may trade pretty much with everyone else, swapping adequate counterparty specific credit premiums, or transferring the default risk at a price to an independent party.  In our opinion the last alternative is more appealing, especially from the point of view of diversification of credit risk. This possibility builds a bridge between the energy markets and the Wall Street, in particular the credit derivatives market. </w:t>
      </w:r>
    </w:p>
    <w:p>
      <w:pPr>
        <w:pStyle w:val="BodyText2"/>
        <w:jc w:val="both"/>
        <w:rPr/>
      </w:pPr>
      <w:r>
        <w:rPr/>
      </w:r>
    </w:p>
    <w:p>
      <w:pPr>
        <w:pStyle w:val="BodyText2"/>
        <w:jc w:val="both"/>
        <w:rPr/>
      </w:pPr>
      <w:r>
        <w:rPr/>
        <w:t xml:space="preserve">The strong correlation between power and weather also has to be exploited to its fullest </w:t>
      </w:r>
      <w:r>
        <w:rPr>
          <w:b/>
        </w:rPr>
        <w:t>extent</w:t>
      </w:r>
      <w:r>
        <w:rPr/>
        <w:t xml:space="preserve">.  This relation makes the weather derivatives the natural hedging instruments for the volumetric risk in power markets.  This hedging need, along with the ample cross-market trading opportunities, make the weather derivatives market an attractive candidate for integrated trading, and hence valuation. </w:t>
      </w:r>
    </w:p>
    <w:p>
      <w:pPr>
        <w:pStyle w:val="BodyText2"/>
        <w:jc w:val="both"/>
        <w:rPr/>
      </w:pPr>
      <w:r>
        <w:rPr/>
        <w:t xml:space="preserve">Moreover, it will be useful to structure and trade special derivatives tied to forced and planned plant shutdown schedules. This will provide a mechanism to hedge another important risk in these markets.  We think this should be in the mutual interest of power marketing and generating companies, as well as insurance industry. </w:t>
      </w:r>
    </w:p>
    <w:p>
      <w:pPr>
        <w:pStyle w:val="BodyText2"/>
        <w:jc w:val="both"/>
        <w:rPr/>
      </w:pPr>
      <w:r>
        <w:rPr/>
      </w:r>
    </w:p>
    <w:p>
      <w:pPr>
        <w:pStyle w:val="BodyText2"/>
        <w:jc w:val="both"/>
        <w:rPr/>
      </w:pPr>
      <w:r>
        <w:rPr/>
        <w:t>Natural gas market is an obvious candidate for integration with power market. Being marginal fuel for a variety of control areas, it has variable impact on the prices of some segments of power products.</w:t>
      </w:r>
      <w:r>
        <w:rPr>
          <w:rStyle w:val="FootnoteCharacters"/>
          <w:rStyle w:val="FootnoteReference"/>
        </w:rPr>
        <w:footnoteReference w:id="9"/>
      </w:r>
      <w:r>
        <w:rPr/>
        <w:t xml:space="preserve">  Obviously, this list may go on. </w:t>
      </w:r>
      <w:r>
        <w:rPr>
          <w:rStyle w:val="FootnoteCharacters"/>
          <w:rStyle w:val="FootnoteReference"/>
        </w:rPr>
        <w:footnoteReference w:id="10"/>
      </w:r>
      <w:r>
        <w:rPr/>
        <w:t xml:space="preserve">  We would like to finalize this list by bringing to the attention of readers the market for generation and transmission assets. </w:t>
      </w:r>
    </w:p>
    <w:p>
      <w:pPr>
        <w:pStyle w:val="BodyText2"/>
        <w:jc w:val="both"/>
        <w:rPr/>
      </w:pPr>
      <w:r>
        <w:rPr/>
      </w:r>
    </w:p>
    <w:p>
      <w:pPr>
        <w:pStyle w:val="BodyText2"/>
        <w:jc w:val="both"/>
        <w:rPr/>
      </w:pPr>
      <w:r>
        <w:rPr/>
        <w:t>As the deregulation of power and natural gas markets evolves, we are going to witness an increasing number of mergers and acquisitions of generation assets, and other assets like gas pipelines, as well as new investments in generation capacity. We predict that in the context of long term trading operations, assets of this kind are going to become parts of each power marketer’s portfolios. The trading of deregulated markets is going to resemble more of a portfolio management practice</w:t>
      </w:r>
      <w:r>
        <w:rPr>
          <w:b/>
        </w:rPr>
        <w:t xml:space="preserve">.  </w:t>
      </w:r>
      <w:r>
        <w:rPr/>
        <w:t xml:space="preserve">This obviously has consequences on the ways power marketers will conduct business in the future, and it will have strong impact on the quantitative models and systems that will sustain the test of the time. </w:t>
      </w:r>
    </w:p>
    <w:p>
      <w:pPr>
        <w:pStyle w:val="Normal"/>
        <w:jc w:val="both"/>
        <w:rPr>
          <w:b/>
          <w:sz w:val="28"/>
        </w:rPr>
      </w:pPr>
      <w:r>
        <w:rPr>
          <w:b/>
          <w:sz w:val="28"/>
        </w:rPr>
      </w:r>
    </w:p>
    <w:p>
      <w:pPr>
        <w:pStyle w:val="Normal"/>
        <w:jc w:val="both"/>
        <w:rPr>
          <w:sz w:val="22"/>
        </w:rPr>
      </w:pPr>
      <w:r>
        <w:rPr>
          <w:sz w:val="22"/>
        </w:rPr>
        <w:t xml:space="preserve">Similar to power markets, pricing other energy commodities like gas, oil, etc., based on the market fundamentals may provide significant advantages to energy traders and risk managers.  Along these lines, modeling of storage, pipeline capacity and transportation tariffs directly, and inferring the appropriate prices from these fundamentals may provide enormous additional insight to investors in deregulating energy markets. </w:t>
      </w:r>
    </w:p>
    <w:p>
      <w:pPr>
        <w:pStyle w:val="Normal"/>
        <w:jc w:val="both"/>
        <w:rPr>
          <w:sz w:val="22"/>
        </w:rPr>
      </w:pPr>
      <w:r>
        <w:rPr>
          <w:sz w:val="22"/>
        </w:rPr>
      </w:r>
    </w:p>
    <w:p>
      <w:pPr>
        <w:pStyle w:val="Normal"/>
        <w:jc w:val="both"/>
        <w:rPr/>
      </w:pPr>
      <w:r>
        <w:rPr>
          <w:sz w:val="22"/>
        </w:rPr>
        <w:t>This kind of approach, enhanced with option pricing mentality and proper techniques, may help also to price pipelines, refineries and storage facilities, transmission lines and generation assets accurately and consistently.  This pricing will build on market fundamentals and market expectations. This approach may eventually bring the daily trading practices into the context of traditional investment theory.  A system of this type will build consensus between the traditional portfolio management techniques and modern, quantitative pricing techniques.</w:t>
      </w:r>
      <w:r>
        <w:rPr>
          <w:rStyle w:val="FootnoteCharacters"/>
          <w:rStyle w:val="FootnoteReference"/>
          <w:sz w:val="22"/>
        </w:rPr>
        <w:footnoteReference w:id="11"/>
      </w:r>
      <w:r>
        <w:rPr>
          <w:sz w:val="22"/>
        </w:rPr>
        <w:t xml:space="preserve"> This will lead to advanced portfolio management practices, and will lead not only to more sensible trading and risk management practices, but also to improved strategic investment, mergers and acquisitions decisions.  This will prove itself to be a consistent framework, and will help to extend the energy trading and investment activities beyond the list of current direct owners of energy related assets.  It may facilitate secondary markets of hard assets of energy industry or, alternatively, it may facilitate leasing market around these assets.  All this reiterates again the need for the maturation of credit risk management and not just measurement practices. </w:t>
      </w:r>
    </w:p>
    <w:p>
      <w:pPr>
        <w:pStyle w:val="Normal"/>
        <w:jc w:val="both"/>
        <w:rPr>
          <w:sz w:val="22"/>
        </w:rPr>
      </w:pPr>
      <w:r>
        <w:rPr>
          <w:sz w:val="22"/>
        </w:rPr>
      </w:r>
    </w:p>
    <w:p>
      <w:pPr>
        <w:pStyle w:val="Normal"/>
        <w:jc w:val="both"/>
        <w:rPr>
          <w:sz w:val="22"/>
        </w:rPr>
      </w:pPr>
      <w:r>
        <w:rPr>
          <w:sz w:val="22"/>
        </w:rPr>
        <w:t xml:space="preserve">Building this next wave of trading and risk management systems in the power industry, as well as in energy industry in general, and making these systems work on real-time basis will require significant investments in human and financial capital. Moreover, achievement of these results will require non-trivial hardware and software solutions.  By virtue of its regional segmentation, and by virtue of the correlation between different energy commodities and power, power trading and risk management is a parallel process. With the energy deregulation process picking up both nationwide and worldwide, this parallelization will only increase, until the proper transmission-transportation industry regulatory reforms stimulate building more transmission lines and pipelines.  It is also evident that even in each particular region, the real time evaluation of the portfolio from the risk and trading opportunity points of view is a challenging process. Probably not all of the players in the market would be ready to commit the necessary resources needed for developing the required systems, or acquiring the necessary hardware, but there are always alternative solutions. </w:t>
      </w:r>
    </w:p>
    <w:p>
      <w:pPr>
        <w:pStyle w:val="Normal"/>
        <w:jc w:val="both"/>
        <w:rPr>
          <w:sz w:val="22"/>
        </w:rPr>
      </w:pPr>
      <w:r>
        <w:rPr>
          <w:sz w:val="22"/>
        </w:rPr>
      </w:r>
    </w:p>
    <w:p>
      <w:pPr>
        <w:pStyle w:val="BodyText2"/>
        <w:jc w:val="both"/>
        <w:rPr/>
      </w:pPr>
      <w:r>
        <w:rPr/>
        <w:t xml:space="preserve">With the consideration of all our arguments, trading and risk management strategies between different players will be driven in the future not by the differences between the quantitative systems. They will be driven by the proprietary information in the possession of each individual player, their balance sheets, including their generation assets, pipelines, storage facilities, their risk-return preferences, their management philosophy and execution.  </w:t>
      </w:r>
    </w:p>
    <w:p>
      <w:pPr>
        <w:pStyle w:val="BodyText2"/>
        <w:jc w:val="both"/>
        <w:rPr/>
      </w:pPr>
      <w:r>
        <w:rPr/>
      </w:r>
    </w:p>
    <w:p>
      <w:pPr>
        <w:pStyle w:val="BodyText2"/>
        <w:jc w:val="both"/>
        <w:rPr/>
      </w:pPr>
      <w:r>
        <w:rPr/>
        <w:t xml:space="preserve">In the modern world, the way business is being done is changing rapidly.  The fantasies of yesterday are today’s realities. The rapid development of computational hardware and the emergence of electronic trading in energy industry are examples of these new transformations. Much like the transition of certain countries from socialism to capitalism, the deregulation of an entire industry is a painful process, but the deregulation has gone to far to be reversed. As always, those with their fingers on the pulse of the era will be survivors and winners in the new millennium.  </w:t>
      </w:r>
    </w:p>
    <w:p>
      <w:pPr>
        <w:pStyle w:val="BodyText2"/>
        <w:jc w:val="both"/>
        <w:rPr/>
      </w:pPr>
      <w:r>
        <w:rPr/>
      </w:r>
    </w:p>
    <w:p>
      <w:pPr>
        <w:pStyle w:val="Normal"/>
        <w:jc w:val="both"/>
        <w:rPr>
          <w:sz w:val="22"/>
        </w:rPr>
      </w:pPr>
      <w:r>
        <w:rPr>
          <w:sz w:val="22"/>
        </w:rPr>
        <w:t xml:space="preserve">In conclusion, I express my acknowledgments to Prof. Craig Pirrong of Olin School of Business at Washington University, and Andis Berzins, Ken Johnson, Paul McGregor, Joe Pokalsky and Paulo Zanjacomo of Altra Risk Management Services for thought stimulating discussions and comments, and for helping me to improve this article.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 xml:space="preserve">Overall, the reasons behind the events of June 1998 are well understood and documented in The Executive Summary of the Staff Report to the FERC on the Causes of Wholesale Electric  </w:t>
      </w:r>
    </w:p>
    <w:p>
      <w:pPr>
        <w:pStyle w:val="FootnoteText"/>
        <w:rPr/>
      </w:pPr>
      <w:r>
        <w:rPr/>
        <w:t xml:space="preserve"> </w:t>
      </w:r>
      <w:r>
        <w:rPr/>
        <w:t>Pricing Abnormalities in the Midwest During</w:t>
      </w:r>
      <w:r>
        <w:rPr>
          <w:rStyle w:val="FootnoteCharacters"/>
        </w:rPr>
        <w:t>?</w:t>
      </w:r>
      <w:r>
        <w:rPr/>
        <w:t xml:space="preserve"> June 1998.  The full text material is available at http://www.ferc.fed.us/electric/.</w:t>
      </w:r>
    </w:p>
  </w:footnote>
  <w:footnote w:id="3">
    <w:p>
      <w:pPr>
        <w:pStyle w:val="FootnoteText"/>
        <w:rPr/>
      </w:pPr>
      <w:r>
        <w:rPr>
          <w:rStyle w:val="FootnoteCharacters"/>
        </w:rPr>
        <w:footnoteRef/>
      </w:r>
      <w:r>
        <w:rPr/>
        <w:t xml:space="preserve"> </w:t>
      </w:r>
      <w:r>
        <w:rPr/>
        <w:t xml:space="preserve">The same can be said on unit failures. </w:t>
      </w:r>
    </w:p>
  </w:footnote>
  <w:footnote w:id="4">
    <w:p>
      <w:pPr>
        <w:pStyle w:val="FootnoteText"/>
        <w:rPr/>
      </w:pPr>
      <w:r>
        <w:rPr>
          <w:rStyle w:val="FootnoteCharacters"/>
        </w:rPr>
        <w:footnoteRef/>
      </w:r>
      <w:r>
        <w:rPr/>
        <w:t xml:space="preserve"> </w:t>
      </w:r>
      <w:r>
        <w:rPr/>
        <w:t xml:space="preserve">An example of this kind of exchange would be the one operating under the auspices of Altra Energy Technologies, Inc. </w:t>
      </w:r>
    </w:p>
  </w:footnote>
  <w:footnote w:id="5">
    <w:p>
      <w:pPr>
        <w:pStyle w:val="FootnoteText"/>
        <w:rPr/>
      </w:pPr>
      <w:r>
        <w:rPr>
          <w:rStyle w:val="FootnoteCharacters"/>
        </w:rPr>
        <w:footnoteRef/>
      </w:r>
      <w:r>
        <w:rPr>
          <w:sz w:val="18"/>
        </w:rPr>
        <w:t xml:space="preserve"> </w:t>
      </w:r>
      <w:r>
        <w:rPr>
          <w:sz w:val="18"/>
        </w:rPr>
        <w:t>One of the primary differences of power from other commodities is its non-storability.  It is a service to be used only for consumption purposes, but its advanced reservation throughout a period of time provides to it some attributes of a commodity.  To the contrary of oil, gas, metals, agricultural commodities, etc., power cannot be considered as a product to be held for investment purposes.</w:t>
      </w:r>
      <w:r>
        <w:rPr/>
        <w:t xml:space="preserve"> </w:t>
      </w:r>
    </w:p>
  </w:footnote>
  <w:footnote w:id="6">
    <w:p>
      <w:pPr>
        <w:pStyle w:val="FootnoteText"/>
        <w:rPr/>
      </w:pPr>
      <w:r>
        <w:rPr>
          <w:rStyle w:val="FootnoteCharacters"/>
        </w:rPr>
        <w:footnoteRef/>
      </w:r>
      <w:r>
        <w:rPr/>
        <w:t xml:space="preserve"> </w:t>
      </w:r>
      <w:r>
        <w:rPr/>
        <w:t xml:space="preserve">Our skepticism directed at the traditional VaR can be summarized in the expression “The devil is in the details.” </w:t>
      </w:r>
    </w:p>
  </w:footnote>
  <w:footnote w:id="7">
    <w:p>
      <w:pPr>
        <w:pStyle w:val="FootnoteText"/>
        <w:rPr/>
      </w:pPr>
      <w:r>
        <w:rPr>
          <w:rStyle w:val="FootnoteCharacters"/>
        </w:rPr>
        <w:footnoteRef/>
      </w:r>
      <w:r>
        <w:rPr/>
        <w:t xml:space="preserve"> </w:t>
      </w:r>
      <w:r>
        <w:rPr/>
        <w:t xml:space="preserve">Raising the issue of inadequacy of collateral we want to emphasize that in the term market, due to market risk uncertainty and the dependency of credit/default risk on market risk, the size of required collateral is not known in advance. It may also be too expensive for the trading conterparties to come up with the necessary collateral, if the collateral is not structured in an innovative way.  </w:t>
      </w:r>
    </w:p>
  </w:footnote>
  <w:footnote w:id="8">
    <w:p>
      <w:pPr>
        <w:pStyle w:val="FootnoteText"/>
        <w:rPr/>
      </w:pPr>
      <w:r>
        <w:rPr>
          <w:rStyle w:val="FootnoteCharacters"/>
        </w:rPr>
        <w:footnoteRef/>
      </w:r>
      <w:r>
        <w:rPr/>
        <w:t xml:space="preserve"> </w:t>
      </w:r>
      <w:r>
        <w:rPr/>
        <w:t>As evidenced in financial markets, these types of products can be structured even in the absence of publicly traded corporate debt instruments.</w:t>
      </w:r>
    </w:p>
  </w:footnote>
  <w:footnote w:id="9">
    <w:p>
      <w:pPr>
        <w:pStyle w:val="FootnoteText"/>
        <w:rPr/>
      </w:pPr>
      <w:r>
        <w:rPr>
          <w:rStyle w:val="FootnoteCharacters"/>
        </w:rPr>
        <w:footnoteRef/>
      </w:r>
      <w:r>
        <w:rPr/>
        <w:t xml:space="preserve"> </w:t>
      </w:r>
      <w:r>
        <w:rPr/>
        <w:t xml:space="preserve">To a limited degree, this may be said also on coal markets.  To what extend this may be of interest will depend by in large from the successful launching of coal future contracts on the floor of NYMEX. </w:t>
      </w:r>
    </w:p>
  </w:footnote>
  <w:footnote w:id="10">
    <w:p>
      <w:pPr>
        <w:pStyle w:val="FootnoteText"/>
        <w:rPr/>
      </w:pPr>
      <w:r>
        <w:rPr>
          <w:rStyle w:val="FootnoteCharacters"/>
        </w:rPr>
        <w:footnoteRef/>
      </w:r>
      <w:r>
        <w:rPr/>
        <w:t xml:space="preserve"> </w:t>
      </w:r>
      <w:r>
        <w:rPr/>
        <w:t xml:space="preserve">For example, one can consider the emerging market for emission credit, as another candidate for integration. </w:t>
      </w:r>
    </w:p>
  </w:footnote>
  <w:footnote w:id="11">
    <w:p>
      <w:pPr>
        <w:pStyle w:val="FootnoteText"/>
        <w:rPr/>
      </w:pPr>
      <w:r>
        <w:rPr>
          <w:rStyle w:val="FootnoteCharacters"/>
        </w:rPr>
        <w:footnoteRef/>
      </w:r>
      <w:r>
        <w:rPr/>
        <w:t xml:space="preserve"> </w:t>
      </w:r>
      <w:r>
        <w:rPr/>
        <w:t xml:space="preserve">One can argue that the same conclusions can be made for other commodities like corn, etc.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1999-12-23T20:09:00Z</dcterms:created>
  <dc:creator>Martin Jermakyan</dc:creator>
  <dc:description/>
  <dc:language>en-CA</dc:language>
  <cp:lastModifiedBy>Martin Jermakyan</cp:lastModifiedBy>
  <cp:lastPrinted>1999-12-23T14:14:00Z</cp:lastPrinted>
  <dcterms:modified xsi:type="dcterms:W3CDTF">1999-12-23T20:09:00Z</dcterms:modified>
  <cp:revision>2</cp:revision>
  <dc:subject/>
  <dc:title>Taking Risk Management to the Next Level</dc:title>
</cp:coreProperties>
</file>