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8"/>
        </w:rPr>
      </w:pPr>
      <w:r>
        <w:rPr>
          <w:b/>
          <w:sz w:val="28"/>
        </w:rPr>
      </w:r>
    </w:p>
    <w:p>
      <w:pPr>
        <w:pStyle w:val="BodyText"/>
        <w:jc w:val="center"/>
        <w:rPr>
          <w:b/>
          <w:sz w:val="28"/>
        </w:rPr>
      </w:pPr>
      <w:r>
        <w:rPr>
          <w:b/>
          <w:sz w:val="28"/>
        </w:rPr>
      </w:r>
    </w:p>
    <w:p>
      <w:pPr>
        <w:pStyle w:val="BodyText"/>
        <w:jc w:val="center"/>
        <w:rPr>
          <w:b/>
          <w:sz w:val="28"/>
        </w:rPr>
      </w:pPr>
      <w:r>
        <w:rPr>
          <w:b/>
          <w:sz w:val="28"/>
        </w:rPr>
      </w:r>
      <w:bookmarkStart w:id="0" w:name="_Ref477755102"/>
      <w:bookmarkStart w:id="1" w:name="_Ref477755102"/>
      <w:bookmarkEnd w:id="1"/>
    </w:p>
    <w:p>
      <w:pPr>
        <w:pStyle w:val="BodyText"/>
        <w:numPr>
          <w:ilvl w:val="0"/>
          <w:numId w:val="0"/>
        </w:numPr>
        <w:jc w:val="center"/>
        <w:outlineLvl w:val="0"/>
        <w:rPr/>
      </w:pPr>
      <w:r>
        <w:rPr>
          <w:b/>
          <w:sz w:val="32"/>
        </w:rPr>
        <w:t>ELECTRICITY</w:t>
      </w:r>
      <w:commentRangeStart w:id="0"/>
      <w:r>
        <w:rPr>
          <w:b/>
          <w:sz w:val="32"/>
        </w:rPr>
        <w:t xml:space="preserve"> </w:t>
      </w:r>
      <w:r>
        <w:rPr>
          <w:rStyle w:val="CommentReference"/>
          <w:vanish w:val="false"/>
        </w:rPr>
      </w:r>
      <w:commentRangeEnd w:id="0"/>
      <w:r>
        <w:commentReference w:id="0"/>
      </w:r>
      <w:r>
        <w:rPr>
          <w:b/>
          <w:sz w:val="32"/>
        </w:rPr>
        <w:t>PURCHASE AGREEMENT</w:t>
      </w:r>
    </w:p>
    <w:p>
      <w:pPr>
        <w:pStyle w:val="BodyText"/>
        <w:jc w:val="center"/>
        <w:rPr>
          <w:b/>
          <w:sz w:val="32"/>
        </w:rPr>
      </w:pPr>
      <w:r>
        <w:rPr>
          <w:b/>
          <w:sz w:val="32"/>
        </w:rPr>
      </w:r>
    </w:p>
    <w:p>
      <w:pPr>
        <w:pStyle w:val="BodyText"/>
        <w:numPr>
          <w:ilvl w:val="0"/>
          <w:numId w:val="0"/>
        </w:numPr>
        <w:jc w:val="center"/>
        <w:outlineLvl w:val="0"/>
        <w:rPr>
          <w:b/>
          <w:sz w:val="32"/>
        </w:rPr>
      </w:pPr>
      <w:r>
        <w:rPr>
          <w:b/>
          <w:sz w:val="32"/>
        </w:rPr>
        <w:t>Between</w:t>
      </w:r>
    </w:p>
    <w:p>
      <w:pPr>
        <w:pStyle w:val="BodyText"/>
        <w:jc w:val="center"/>
        <w:rPr>
          <w:b/>
          <w:sz w:val="32"/>
        </w:rPr>
      </w:pPr>
      <w:r>
        <w:rPr>
          <w:b/>
          <w:sz w:val="32"/>
        </w:rPr>
      </w:r>
    </w:p>
    <w:p>
      <w:pPr>
        <w:pStyle w:val="BodyText"/>
        <w:numPr>
          <w:ilvl w:val="0"/>
          <w:numId w:val="0"/>
        </w:numPr>
        <w:jc w:val="center"/>
        <w:outlineLvl w:val="0"/>
        <w:rPr>
          <w:b/>
          <w:sz w:val="32"/>
        </w:rPr>
      </w:pPr>
      <w:r>
        <w:rPr>
          <w:b/>
          <w:sz w:val="32"/>
        </w:rPr>
        <w:t>ENRON CANADA CORP., AS BUYER</w:t>
      </w:r>
    </w:p>
    <w:p>
      <w:pPr>
        <w:pStyle w:val="BodyText"/>
        <w:jc w:val="center"/>
        <w:rPr>
          <w:b/>
          <w:sz w:val="32"/>
        </w:rPr>
      </w:pPr>
      <w:r>
        <w:rPr>
          <w:b/>
          <w:sz w:val="32"/>
        </w:rPr>
      </w:r>
    </w:p>
    <w:p>
      <w:pPr>
        <w:pStyle w:val="BodyText"/>
        <w:numPr>
          <w:ilvl w:val="0"/>
          <w:numId w:val="0"/>
        </w:numPr>
        <w:jc w:val="center"/>
        <w:outlineLvl w:val="0"/>
        <w:rPr>
          <w:b/>
          <w:sz w:val="32"/>
        </w:rPr>
      </w:pPr>
      <w:r>
        <w:rPr>
          <w:b/>
          <w:sz w:val="32"/>
        </w:rPr>
        <w:t>And</w:t>
      </w:r>
    </w:p>
    <w:p>
      <w:pPr>
        <w:pStyle w:val="BodyText"/>
        <w:numPr>
          <w:ilvl w:val="0"/>
          <w:numId w:val="0"/>
        </w:numPr>
        <w:jc w:val="center"/>
        <w:outlineLvl w:val="0"/>
        <w:rPr>
          <w:b/>
          <w:sz w:val="32"/>
        </w:rPr>
      </w:pPr>
      <w:r>
        <w:rPr>
          <w:b/>
          <w:sz w:val="32"/>
        </w:rPr>
      </w:r>
    </w:p>
    <w:p>
      <w:pPr>
        <w:pStyle w:val="BodyText"/>
        <w:numPr>
          <w:ilvl w:val="0"/>
          <w:numId w:val="0"/>
        </w:numPr>
        <w:jc w:val="center"/>
        <w:outlineLvl w:val="0"/>
        <w:rPr>
          <w:b/>
          <w:sz w:val="32"/>
        </w:rPr>
      </w:pPr>
      <w:r>
        <w:rPr>
          <w:b/>
          <w:sz w:val="32"/>
        </w:rPr>
        <w:t>BRITISH ENERGY (CANADA) LTD., AS SELLER</w:t>
      </w:r>
    </w:p>
    <w:p>
      <w:pPr>
        <w:pStyle w:val="BodyText"/>
        <w:numPr>
          <w:ilvl w:val="0"/>
          <w:numId w:val="0"/>
        </w:numPr>
        <w:jc w:val="center"/>
        <w:outlineLvl w:val="0"/>
        <w:rPr>
          <w:b/>
          <w:sz w:val="32"/>
        </w:rPr>
      </w:pPr>
      <w:r>
        <w:rPr>
          <w:b/>
          <w:sz w:val="32"/>
        </w:rPr>
      </w:r>
    </w:p>
    <w:tbl>
      <w:tblPr>
        <w:tblW w:w="9576" w:type="dxa"/>
        <w:jc w:val="start"/>
        <w:tblInd w:w="0" w:type="dxa"/>
        <w:tblLayout w:type="fixed"/>
        <w:tblCellMar>
          <w:top w:w="0" w:type="dxa"/>
          <w:start w:w="108" w:type="dxa"/>
          <w:bottom w:w="0" w:type="dxa"/>
          <w:end w:w="108" w:type="dxa"/>
        </w:tblCellMar>
      </w:tblPr>
      <w:tblGrid>
        <w:gridCol w:w="2268"/>
        <w:gridCol w:w="5130"/>
        <w:gridCol w:w="2178"/>
      </w:tblGrid>
      <w:tr>
        <w:trPr/>
        <w:tc>
          <w:tcPr>
            <w:tcW w:w="2268" w:type="dxa"/>
            <w:tcBorders/>
          </w:tcPr>
          <w:p>
            <w:pPr>
              <w:pStyle w:val="BodyText"/>
              <w:snapToGrid w:val="false"/>
              <w:spacing w:before="0" w:after="0"/>
              <w:jc w:val="center"/>
              <w:rPr/>
            </w:pPr>
            <w:r>
              <w:rPr/>
            </w:r>
          </w:p>
        </w:tc>
        <w:tc>
          <w:tcPr>
            <w:tcW w:w="5130" w:type="dxa"/>
            <w:tcBorders/>
          </w:tcPr>
          <w:p>
            <w:pPr>
              <w:pStyle w:val="BodyText"/>
              <w:snapToGrid w:val="false"/>
              <w:spacing w:before="0" w:after="0"/>
              <w:jc w:val="center"/>
              <w:rPr/>
            </w:pPr>
            <w:r>
              <w:rPr/>
            </w:r>
          </w:p>
        </w:tc>
        <w:tc>
          <w:tcPr>
            <w:tcW w:w="2178" w:type="dxa"/>
            <w:tcBorders/>
          </w:tcPr>
          <w:p>
            <w:pPr>
              <w:pStyle w:val="BodyText"/>
              <w:snapToGrid w:val="false"/>
              <w:spacing w:before="0" w:after="0"/>
              <w:jc w:val="center"/>
              <w:rPr/>
            </w:pPr>
            <w:r>
              <w:rPr/>
            </w:r>
          </w:p>
        </w:tc>
      </w:tr>
      <w:tr>
        <w:trPr/>
        <w:tc>
          <w:tcPr>
            <w:tcW w:w="2268" w:type="dxa"/>
            <w:tcBorders/>
          </w:tcPr>
          <w:p>
            <w:pPr>
              <w:pStyle w:val="BodyText"/>
              <w:snapToGrid w:val="false"/>
              <w:spacing w:before="0" w:after="0"/>
              <w:jc w:val="center"/>
              <w:rPr/>
            </w:pPr>
            <w:r>
              <w:rPr/>
            </w:r>
          </w:p>
        </w:tc>
        <w:tc>
          <w:tcPr>
            <w:tcW w:w="5130" w:type="dxa"/>
            <w:tcBorders/>
          </w:tcPr>
          <w:p>
            <w:pPr>
              <w:pStyle w:val="BodyText"/>
              <w:spacing w:before="0" w:after="0"/>
              <w:jc w:val="center"/>
              <w:rPr>
                <w:sz w:val="28"/>
              </w:rPr>
            </w:pPr>
            <w:r>
              <w:rPr>
                <w:b/>
                <w:sz w:val="28"/>
              </w:rPr>
              <w:t>April 10, 2000</w:t>
            </w:r>
          </w:p>
        </w:tc>
        <w:tc>
          <w:tcPr>
            <w:tcW w:w="2178" w:type="dxa"/>
            <w:tcBorders/>
          </w:tcPr>
          <w:p>
            <w:pPr>
              <w:pStyle w:val="BodyText"/>
              <w:snapToGrid w:val="false"/>
              <w:spacing w:before="0" w:after="0"/>
              <w:jc w:val="center"/>
              <w:rPr>
                <w:sz w:val="28"/>
              </w:rPr>
            </w:pPr>
            <w:r>
              <w:rPr>
                <w:sz w:val="28"/>
              </w:rPr>
            </w:r>
          </w:p>
        </w:tc>
      </w:tr>
    </w:tbl>
    <w:p>
      <w:pPr>
        <w:pStyle w:val="BodyText"/>
        <w:jc w:val="center"/>
        <w:rPr/>
      </w:pPr>
      <w:r>
        <w:rPr/>
      </w:r>
    </w:p>
    <w:p>
      <w:pPr>
        <w:pStyle w:val="BodyText"/>
        <w:jc w:val="center"/>
        <w:rPr/>
      </w:pPr>
      <w:r>
        <w:rPr/>
      </w:r>
    </w:p>
    <w:p>
      <w:pPr>
        <w:pStyle w:val="BodyText"/>
        <w:rPr>
          <w:i/>
          <w:i/>
        </w:rPr>
      </w:pPr>
      <w:r>
        <w:rPr>
          <w:i/>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sz w:val="28"/>
              <w:lang w:val="en-CA"/>
            </w:rPr>
            <w:instrText xml:space="preserve"> TOC \o "1-2" </w:instrText>
          </w:r>
          <w:r>
            <w:rPr>
              <w:sz w:val="28"/>
              <w:lang w:val="en-CA"/>
            </w:rPr>
            <w:fldChar w:fldCharType="separate"/>
          </w:r>
          <w:r>
            <w:rPr>
              <w:sz w:val="28"/>
              <w:lang w:val="en-CA"/>
            </w:rPr>
            <w:t>Article 1</w:t>
          </w:r>
          <w:r>
            <w:rPr>
              <w:color w:val="0000FF"/>
              <w:sz w:val="28"/>
              <w:lang w:val="en-CA"/>
            </w:rPr>
            <w:t xml:space="preserve"> DEFINITIONS AND INTERPRETATION</w:t>
          </w:r>
          <w:r>
            <w:rPr>
              <w:sz w:val="28"/>
              <w:lang w:val="en-CA"/>
            </w:rPr>
            <w:tab/>
          </w:r>
          <w:hyperlink w:anchor="__RefHeading___Toc480081426">
            <w:r>
              <w:rPr>
                <w:rStyle w:val="IndexLink"/>
                <w:sz w:val="28"/>
                <w:lang w:val="en-CA"/>
              </w:rPr>
              <w:t>1</w:t>
            </w:r>
          </w:hyperlink>
        </w:p>
        <w:p>
          <w:pPr>
            <w:pStyle w:val="TOC2"/>
            <w:tabs>
              <w:tab w:val="clear" w:pos="720"/>
              <w:tab w:val="left" w:pos="900" w:leader="none"/>
              <w:tab w:val="right" w:pos="9350" w:leader="dot"/>
            </w:tabs>
            <w:rPr>
              <w:lang w:val="en-CA"/>
            </w:rPr>
          </w:pPr>
          <w:r>
            <w:rPr>
              <w:b/>
              <w:lang w:val="en-CA"/>
            </w:rPr>
            <w:t>1.1</w:t>
          </w:r>
          <w:r>
            <w:rPr>
              <w:lang w:val="en-CA"/>
            </w:rPr>
            <w:tab/>
          </w:r>
          <w:r>
            <w:rPr>
              <w:b/>
              <w:color w:val="0000FF"/>
              <w:lang w:val="en-CA"/>
            </w:rPr>
            <w:t>Definitions</w:t>
          </w:r>
          <w:r>
            <w:rPr>
              <w:lang w:val="en-CA"/>
            </w:rPr>
            <w:tab/>
          </w:r>
          <w:hyperlink w:anchor="__RefHeading___Toc480081427">
            <w:r>
              <w:rPr>
                <w:rStyle w:val="IndexLink"/>
                <w:lang w:val="en-CA"/>
              </w:rPr>
              <w:t>1</w:t>
            </w:r>
          </w:hyperlink>
        </w:p>
        <w:p>
          <w:pPr>
            <w:pStyle w:val="TOC2"/>
            <w:tabs>
              <w:tab w:val="clear" w:pos="720"/>
              <w:tab w:val="left" w:pos="900" w:leader="none"/>
              <w:tab w:val="right" w:pos="9350" w:leader="dot"/>
            </w:tabs>
            <w:rPr>
              <w:lang w:val="en-CA"/>
            </w:rPr>
          </w:pPr>
          <w:r>
            <w:rPr>
              <w:b/>
              <w:lang w:val="en-CA"/>
            </w:rPr>
            <w:t>1.2</w:t>
          </w:r>
          <w:r>
            <w:rPr>
              <w:lang w:val="en-CA"/>
            </w:rPr>
            <w:tab/>
          </w:r>
          <w:r>
            <w:rPr>
              <w:b/>
              <w:color w:val="0000FF"/>
              <w:lang w:val="en-CA"/>
            </w:rPr>
            <w:t>Other Defined Terms</w:t>
          </w:r>
          <w:r>
            <w:rPr>
              <w:lang w:val="en-CA"/>
            </w:rPr>
            <w:t>.</w:t>
            <w:tab/>
          </w:r>
          <w:hyperlink w:anchor="__RefHeading___Toc480081440">
            <w:r>
              <w:rPr>
                <w:rStyle w:val="IndexLink"/>
                <w:lang w:val="en-CA"/>
              </w:rPr>
              <w:t>11</w:t>
            </w:r>
          </w:hyperlink>
        </w:p>
        <w:p>
          <w:pPr>
            <w:pStyle w:val="TOC2"/>
            <w:tabs>
              <w:tab w:val="clear" w:pos="720"/>
              <w:tab w:val="left" w:pos="900" w:leader="none"/>
              <w:tab w:val="right" w:pos="9350" w:leader="dot"/>
            </w:tabs>
            <w:rPr>
              <w:lang w:val="en-CA"/>
            </w:rPr>
          </w:pPr>
          <w:r>
            <w:rPr>
              <w:b/>
              <w:lang w:val="en-CA"/>
            </w:rPr>
            <w:t>1.3</w:t>
          </w:r>
          <w:r>
            <w:rPr>
              <w:lang w:val="en-CA"/>
            </w:rPr>
            <w:tab/>
          </w:r>
          <w:r>
            <w:rPr>
              <w:b/>
              <w:color w:val="0000FF"/>
              <w:lang w:val="en-CA"/>
            </w:rPr>
            <w:t>Currency</w:t>
          </w:r>
          <w:r>
            <w:rPr>
              <w:lang w:val="en-CA"/>
            </w:rPr>
            <w:t>.</w:t>
            <w:tab/>
          </w:r>
          <w:hyperlink w:anchor="__RefHeading___Toc480081441">
            <w:r>
              <w:rPr>
                <w:rStyle w:val="IndexLink"/>
                <w:lang w:val="en-CA"/>
              </w:rPr>
              <w:t>11</w:t>
            </w:r>
          </w:hyperlink>
        </w:p>
        <w:p>
          <w:pPr>
            <w:pStyle w:val="TOC2"/>
            <w:tabs>
              <w:tab w:val="clear" w:pos="720"/>
              <w:tab w:val="left" w:pos="900" w:leader="none"/>
              <w:tab w:val="right" w:pos="9350" w:leader="dot"/>
            </w:tabs>
            <w:rPr>
              <w:lang w:val="en-CA"/>
            </w:rPr>
          </w:pPr>
          <w:r>
            <w:rPr>
              <w:b/>
              <w:lang w:val="en-CA"/>
            </w:rPr>
            <w:t>1.4</w:t>
          </w:r>
          <w:r>
            <w:rPr>
              <w:lang w:val="en-CA"/>
            </w:rPr>
            <w:tab/>
          </w:r>
          <w:r>
            <w:rPr>
              <w:b/>
              <w:color w:val="0000FF"/>
              <w:lang w:val="en-CA"/>
            </w:rPr>
            <w:t>Includes, etc.</w:t>
          </w:r>
          <w:r>
            <w:rPr>
              <w:lang w:val="en-CA"/>
            </w:rPr>
            <w:t>.</w:t>
            <w:tab/>
          </w:r>
          <w:hyperlink w:anchor="__RefHeading___Toc480081443">
            <w:r>
              <w:rPr>
                <w:rStyle w:val="IndexLink"/>
                <w:lang w:val="en-CA"/>
              </w:rPr>
              <w:t>12</w:t>
            </w:r>
          </w:hyperlink>
        </w:p>
        <w:p>
          <w:pPr>
            <w:pStyle w:val="TOC2"/>
            <w:tabs>
              <w:tab w:val="clear" w:pos="720"/>
              <w:tab w:val="left" w:pos="900" w:leader="none"/>
              <w:tab w:val="right" w:pos="9350" w:leader="dot"/>
            </w:tabs>
            <w:rPr>
              <w:lang w:val="en-CA"/>
            </w:rPr>
          </w:pPr>
          <w:r>
            <w:rPr>
              <w:b/>
              <w:lang w:val="en-CA"/>
            </w:rPr>
            <w:t>1.5</w:t>
          </w:r>
          <w:r>
            <w:rPr>
              <w:lang w:val="en-CA"/>
            </w:rPr>
            <w:tab/>
          </w:r>
          <w:r>
            <w:rPr>
              <w:b/>
              <w:color w:val="0000FF"/>
              <w:lang w:val="en-CA"/>
            </w:rPr>
            <w:t>Singular, Plural and Gender</w:t>
          </w:r>
          <w:r>
            <w:rPr>
              <w:lang w:val="en-CA"/>
            </w:rPr>
            <w:t>..</w:t>
            <w:tab/>
          </w:r>
          <w:hyperlink w:anchor="__RefHeading___Toc480081444">
            <w:r>
              <w:rPr>
                <w:rStyle w:val="IndexLink"/>
                <w:lang w:val="en-CA"/>
              </w:rPr>
              <w:t>12</w:t>
            </w:r>
          </w:hyperlink>
        </w:p>
        <w:p>
          <w:pPr>
            <w:pStyle w:val="TOC2"/>
            <w:tabs>
              <w:tab w:val="clear" w:pos="720"/>
              <w:tab w:val="left" w:pos="900" w:leader="none"/>
              <w:tab w:val="right" w:pos="9350" w:leader="dot"/>
            </w:tabs>
            <w:rPr>
              <w:lang w:val="en-CA"/>
            </w:rPr>
          </w:pPr>
          <w:r>
            <w:rPr>
              <w:b/>
              <w:lang w:val="en-CA"/>
            </w:rPr>
            <w:t>1.6</w:t>
          </w:r>
          <w:r>
            <w:rPr>
              <w:lang w:val="en-CA"/>
            </w:rPr>
            <w:tab/>
          </w:r>
          <w:r>
            <w:rPr>
              <w:b/>
              <w:color w:val="0000FF"/>
              <w:lang w:val="en-CA"/>
            </w:rPr>
            <w:t>Interpretation; Governing Law</w:t>
          </w:r>
          <w:r>
            <w:rPr>
              <w:lang w:val="en-CA"/>
            </w:rPr>
            <w:t>.</w:t>
            <w:tab/>
          </w:r>
          <w:hyperlink w:anchor="__RefHeading___Toc480081445">
            <w:r>
              <w:rPr>
                <w:rStyle w:val="IndexLink"/>
                <w:lang w:val="en-CA"/>
              </w:rPr>
              <w:t>12</w:t>
            </w:r>
          </w:hyperlink>
        </w:p>
        <w:p>
          <w:pPr>
            <w:pStyle w:val="TOC2"/>
            <w:tabs>
              <w:tab w:val="clear" w:pos="720"/>
              <w:tab w:val="left" w:pos="900" w:leader="none"/>
              <w:tab w:val="right" w:pos="9350" w:leader="dot"/>
            </w:tabs>
            <w:rPr>
              <w:lang w:val="en-CA"/>
            </w:rPr>
          </w:pPr>
          <w:r>
            <w:rPr>
              <w:b/>
              <w:lang w:val="en-CA"/>
            </w:rPr>
            <w:t>1.7</w:t>
          </w:r>
          <w:r>
            <w:rPr>
              <w:lang w:val="en-CA"/>
            </w:rPr>
            <w:tab/>
          </w:r>
          <w:r>
            <w:rPr>
              <w:b/>
              <w:color w:val="0000FF"/>
              <w:lang w:val="en-CA"/>
            </w:rPr>
            <w:t>Headings and Sections</w:t>
          </w:r>
          <w:r>
            <w:rPr>
              <w:lang w:val="en-CA"/>
            </w:rPr>
            <w:t>.</w:t>
            <w:tab/>
          </w:r>
          <w:hyperlink w:anchor="__RefHeading___Toc480081446">
            <w:r>
              <w:rPr>
                <w:rStyle w:val="IndexLink"/>
                <w:lang w:val="en-CA"/>
              </w:rPr>
              <w:t>12</w:t>
            </w:r>
          </w:hyperlink>
        </w:p>
        <w:p>
          <w:pPr>
            <w:pStyle w:val="TOC1"/>
            <w:tabs>
              <w:tab w:val="clear" w:pos="720"/>
              <w:tab w:val="right" w:pos="9350" w:leader="dot"/>
            </w:tabs>
            <w:rPr>
              <w:lang w:val="en-CA"/>
            </w:rPr>
          </w:pPr>
          <w:r>
            <w:rPr>
              <w:lang w:val="en-CA"/>
            </w:rPr>
            <w:t>Article 2</w:t>
          </w:r>
          <w:r>
            <w:rPr>
              <w:color w:val="0000FF"/>
              <w:lang w:val="en-CA"/>
            </w:rPr>
            <w:t xml:space="preserve"> PURCHASE AND SALE OF ELECTRICITY</w:t>
          </w:r>
          <w:r>
            <w:rPr>
              <w:lang w:val="en-CA"/>
            </w:rPr>
            <w:tab/>
          </w:r>
          <w:hyperlink w:anchor="__RefHeading___Toc480081447">
            <w:r>
              <w:rPr>
                <w:rStyle w:val="IndexLink"/>
                <w:lang w:val="en-CA"/>
              </w:rPr>
              <w:t>12</w:t>
            </w:r>
          </w:hyperlink>
        </w:p>
        <w:p>
          <w:pPr>
            <w:pStyle w:val="TOC2"/>
            <w:tabs>
              <w:tab w:val="clear" w:pos="720"/>
              <w:tab w:val="left" w:pos="900" w:leader="none"/>
              <w:tab w:val="right" w:pos="9350" w:leader="dot"/>
            </w:tabs>
            <w:rPr>
              <w:lang w:val="en-CA"/>
            </w:rPr>
          </w:pPr>
          <w:r>
            <w:rPr>
              <w:b/>
              <w:lang w:val="en-CA"/>
            </w:rPr>
            <w:t>2.1</w:t>
          </w:r>
          <w:r>
            <w:rPr>
              <w:lang w:val="en-CA"/>
            </w:rPr>
            <w:tab/>
          </w:r>
          <w:r>
            <w:rPr>
              <w:b/>
              <w:color w:val="0000FF"/>
              <w:lang w:val="en-CA"/>
            </w:rPr>
            <w:t>Seller’s and Buyer’s Obligations</w:t>
          </w:r>
          <w:r>
            <w:rPr>
              <w:lang w:val="en-CA"/>
            </w:rPr>
            <w:t>.</w:t>
            <w:tab/>
          </w:r>
          <w:hyperlink w:anchor="__RefHeading___Toc480081448">
            <w:r>
              <w:rPr>
                <w:rStyle w:val="IndexLink"/>
                <w:lang w:val="en-CA"/>
              </w:rPr>
              <w:t>12</w:t>
            </w:r>
          </w:hyperlink>
        </w:p>
        <w:p>
          <w:pPr>
            <w:pStyle w:val="TOC2"/>
            <w:tabs>
              <w:tab w:val="clear" w:pos="720"/>
              <w:tab w:val="left" w:pos="900" w:leader="none"/>
              <w:tab w:val="right" w:pos="9350" w:leader="dot"/>
            </w:tabs>
            <w:rPr>
              <w:lang w:val="en-CA"/>
            </w:rPr>
          </w:pPr>
          <w:r>
            <w:rPr>
              <w:b/>
              <w:lang w:val="en-CA"/>
            </w:rPr>
            <w:t>2.2</w:t>
          </w:r>
          <w:r>
            <w:rPr>
              <w:lang w:val="en-CA"/>
            </w:rPr>
            <w:tab/>
          </w:r>
          <w:r>
            <w:rPr>
              <w:b/>
              <w:color w:val="0000FF"/>
              <w:lang w:val="en-CA"/>
            </w:rPr>
            <w:t>Passing of Title; Risk</w:t>
          </w:r>
          <w:r>
            <w:rPr>
              <w:lang w:val="en-CA"/>
            </w:rPr>
            <w:t>.</w:t>
            <w:tab/>
          </w:r>
          <w:hyperlink w:anchor="__RefHeading___Toc480081450">
            <w:r>
              <w:rPr>
                <w:rStyle w:val="IndexLink"/>
                <w:lang w:val="en-CA"/>
              </w:rPr>
              <w:t>13</w:t>
            </w:r>
          </w:hyperlink>
        </w:p>
        <w:p>
          <w:pPr>
            <w:pStyle w:val="TOC2"/>
            <w:tabs>
              <w:tab w:val="clear" w:pos="720"/>
              <w:tab w:val="left" w:pos="900" w:leader="none"/>
              <w:tab w:val="right" w:pos="9350" w:leader="dot"/>
            </w:tabs>
            <w:rPr>
              <w:lang w:val="en-CA"/>
            </w:rPr>
          </w:pPr>
          <w:r>
            <w:rPr>
              <w:b/>
              <w:lang w:val="en-CA"/>
            </w:rPr>
            <w:t>2.3</w:t>
          </w:r>
          <w:r>
            <w:rPr>
              <w:lang w:val="en-CA"/>
            </w:rPr>
            <w:tab/>
          </w:r>
          <w:r>
            <w:rPr>
              <w:b/>
              <w:color w:val="0000FF"/>
              <w:lang w:val="en-CA"/>
            </w:rPr>
            <w:t>Transmission and Scheduling</w:t>
          </w:r>
          <w:r>
            <w:rPr>
              <w:lang w:val="en-CA"/>
            </w:rPr>
            <w:t>..</w:t>
            <w:tab/>
          </w:r>
          <w:hyperlink w:anchor="__RefHeading___Toc480081451">
            <w:r>
              <w:rPr>
                <w:rStyle w:val="IndexLink"/>
                <w:lang w:val="en-CA"/>
              </w:rPr>
              <w:t>13</w:t>
            </w:r>
          </w:hyperlink>
        </w:p>
        <w:p>
          <w:pPr>
            <w:pStyle w:val="TOC2"/>
            <w:tabs>
              <w:tab w:val="clear" w:pos="720"/>
              <w:tab w:val="left" w:pos="900" w:leader="none"/>
              <w:tab w:val="right" w:pos="9350" w:leader="dot"/>
            </w:tabs>
            <w:rPr>
              <w:lang w:val="en-CA"/>
            </w:rPr>
          </w:pPr>
          <w:r>
            <w:rPr>
              <w:b/>
              <w:lang w:val="en-CA"/>
            </w:rPr>
            <w:t>2.4</w:t>
          </w:r>
          <w:r>
            <w:rPr>
              <w:lang w:val="en-CA"/>
            </w:rPr>
            <w:tab/>
          </w:r>
          <w:r>
            <w:rPr>
              <w:b/>
              <w:color w:val="0000FF"/>
              <w:lang w:val="en-CA"/>
            </w:rPr>
            <w:t>Buyer’s Liquidated Cover Damages for Seller's Failure to Deliver</w:t>
          </w:r>
          <w:r>
            <w:rPr>
              <w:lang w:val="en-CA"/>
            </w:rPr>
            <w:t>. .</w:t>
            <w:tab/>
          </w:r>
          <w:hyperlink w:anchor="__RefHeading___Toc480081452">
            <w:r>
              <w:rPr>
                <w:rStyle w:val="IndexLink"/>
                <w:lang w:val="en-CA"/>
              </w:rPr>
              <w:t>13</w:t>
            </w:r>
          </w:hyperlink>
        </w:p>
        <w:p>
          <w:pPr>
            <w:pStyle w:val="TOC2"/>
            <w:tabs>
              <w:tab w:val="clear" w:pos="720"/>
              <w:tab w:val="left" w:pos="900" w:leader="none"/>
              <w:tab w:val="right" w:pos="9350" w:leader="dot"/>
            </w:tabs>
            <w:rPr>
              <w:lang w:val="en-CA"/>
            </w:rPr>
          </w:pPr>
          <w:r>
            <w:rPr>
              <w:b/>
              <w:lang w:val="en-CA"/>
            </w:rPr>
            <w:t>2.5</w:t>
          </w:r>
          <w:r>
            <w:rPr>
              <w:lang w:val="en-CA"/>
            </w:rPr>
            <w:tab/>
          </w:r>
          <w:r>
            <w:rPr>
              <w:b/>
              <w:color w:val="0000FF"/>
              <w:lang w:val="en-CA"/>
            </w:rPr>
            <w:t>Seller’s Liquidated Cover Damages for Buyer's Failure to Receive</w:t>
          </w:r>
          <w:r>
            <w:rPr>
              <w:lang w:val="en-CA"/>
            </w:rPr>
            <w:t>..</w:t>
            <w:tab/>
          </w:r>
          <w:hyperlink w:anchor="__RefHeading___Toc480081453">
            <w:r>
              <w:rPr>
                <w:rStyle w:val="IndexLink"/>
                <w:lang w:val="en-CA"/>
              </w:rPr>
              <w:t>14</w:t>
            </w:r>
          </w:hyperlink>
        </w:p>
        <w:p>
          <w:pPr>
            <w:pStyle w:val="TOC2"/>
            <w:tabs>
              <w:tab w:val="clear" w:pos="720"/>
              <w:tab w:val="left" w:pos="900" w:leader="none"/>
              <w:tab w:val="right" w:pos="9350" w:leader="dot"/>
            </w:tabs>
            <w:rPr>
              <w:lang w:val="en-CA"/>
            </w:rPr>
          </w:pPr>
          <w:r>
            <w:rPr>
              <w:b/>
              <w:lang w:val="en-CA"/>
            </w:rPr>
            <w:t>2.6</w:t>
          </w:r>
          <w:r>
            <w:rPr>
              <w:lang w:val="en-CA"/>
            </w:rPr>
            <w:tab/>
          </w:r>
          <w:r>
            <w:rPr>
              <w:b/>
              <w:color w:val="0000FF"/>
              <w:lang w:val="en-CA"/>
            </w:rPr>
            <w:t>Seller’s Responsibility for Taxes</w:t>
          </w:r>
          <w:r>
            <w:rPr>
              <w:lang w:val="en-CA"/>
            </w:rPr>
            <w:t>.</w:t>
            <w:tab/>
          </w:r>
          <w:hyperlink w:anchor="__RefHeading___Toc480081454">
            <w:r>
              <w:rPr>
                <w:rStyle w:val="IndexLink"/>
                <w:lang w:val="en-CA"/>
              </w:rPr>
              <w:t>14</w:t>
            </w:r>
          </w:hyperlink>
        </w:p>
        <w:p>
          <w:pPr>
            <w:pStyle w:val="TOC2"/>
            <w:tabs>
              <w:tab w:val="clear" w:pos="720"/>
              <w:tab w:val="left" w:pos="900" w:leader="none"/>
              <w:tab w:val="right" w:pos="9350" w:leader="dot"/>
            </w:tabs>
            <w:rPr>
              <w:lang w:val="en-CA"/>
            </w:rPr>
          </w:pPr>
          <w:r>
            <w:rPr>
              <w:b/>
              <w:lang w:val="en-CA"/>
            </w:rPr>
            <w:t>2.7</w:t>
          </w:r>
          <w:r>
            <w:rPr>
              <w:lang w:val="en-CA"/>
            </w:rPr>
            <w:tab/>
          </w:r>
          <w:r>
            <w:rPr>
              <w:b/>
              <w:color w:val="0000FF"/>
              <w:lang w:val="en-CA"/>
            </w:rPr>
            <w:t>Buyer’s Responsibility for Taxes</w:t>
          </w:r>
          <w:r>
            <w:rPr>
              <w:lang w:val="en-CA"/>
            </w:rPr>
            <w:t>.</w:t>
            <w:tab/>
          </w:r>
          <w:hyperlink w:anchor="__RefHeading___Toc480081455">
            <w:r>
              <w:rPr>
                <w:rStyle w:val="IndexLink"/>
                <w:lang w:val="en-CA"/>
              </w:rPr>
              <w:t>14</w:t>
            </w:r>
          </w:hyperlink>
        </w:p>
        <w:p>
          <w:pPr>
            <w:pStyle w:val="TOC2"/>
            <w:tabs>
              <w:tab w:val="clear" w:pos="720"/>
              <w:tab w:val="left" w:pos="900" w:leader="none"/>
              <w:tab w:val="right" w:pos="9350" w:leader="dot"/>
            </w:tabs>
            <w:rPr>
              <w:lang w:val="en-CA"/>
            </w:rPr>
          </w:pPr>
          <w:r>
            <w:rPr>
              <w:b/>
              <w:lang w:val="en-CA"/>
            </w:rPr>
            <w:t>2.8</w:t>
          </w:r>
          <w:r>
            <w:rPr>
              <w:lang w:val="en-CA"/>
            </w:rPr>
            <w:tab/>
          </w:r>
          <w:r>
            <w:rPr>
              <w:b/>
              <w:color w:val="0000FF"/>
              <w:lang w:val="en-CA"/>
            </w:rPr>
            <w:t>Undertaking With Respect to Taxes</w:t>
          </w:r>
          <w:r>
            <w:rPr>
              <w:lang w:val="en-CA"/>
            </w:rPr>
            <w:t>.</w:t>
            <w:tab/>
          </w:r>
          <w:hyperlink w:anchor="__RefHeading___Toc480081457">
            <w:r>
              <w:rPr>
                <w:rStyle w:val="IndexLink"/>
                <w:lang w:val="en-CA"/>
              </w:rPr>
              <w:t>15</w:t>
            </w:r>
          </w:hyperlink>
        </w:p>
        <w:p>
          <w:pPr>
            <w:pStyle w:val="TOC2"/>
            <w:tabs>
              <w:tab w:val="clear" w:pos="720"/>
              <w:tab w:val="left" w:pos="900" w:leader="none"/>
              <w:tab w:val="right" w:pos="9350" w:leader="dot"/>
            </w:tabs>
            <w:rPr>
              <w:lang w:val="en-CA"/>
            </w:rPr>
          </w:pPr>
          <w:r>
            <w:rPr>
              <w:b/>
              <w:lang w:val="en-CA"/>
            </w:rPr>
            <w:t>2.9</w:t>
          </w:r>
          <w:r>
            <w:rPr>
              <w:lang w:val="en-CA"/>
            </w:rPr>
            <w:tab/>
          </w:r>
          <w:r>
            <w:rPr>
              <w:b/>
              <w:color w:val="0000FF"/>
              <w:lang w:val="en-CA"/>
            </w:rPr>
            <w:t>Undertaking With Respect to Buyer’s Contracts</w:t>
          </w:r>
          <w:r>
            <w:rPr>
              <w:lang w:val="en-CA"/>
            </w:rPr>
            <w:t>.</w:t>
            <w:tab/>
          </w:r>
          <w:hyperlink w:anchor="__RefHeading___Toc480081458">
            <w:r>
              <w:rPr>
                <w:rStyle w:val="IndexLink"/>
                <w:lang w:val="en-CA"/>
              </w:rPr>
              <w:t>15</w:t>
            </w:r>
          </w:hyperlink>
        </w:p>
        <w:p>
          <w:pPr>
            <w:pStyle w:val="TOC1"/>
            <w:tabs>
              <w:tab w:val="clear" w:pos="720"/>
              <w:tab w:val="right" w:pos="9350" w:leader="dot"/>
            </w:tabs>
            <w:rPr>
              <w:lang w:val="en-CA"/>
            </w:rPr>
          </w:pPr>
          <w:r>
            <w:rPr>
              <w:lang w:val="en-CA"/>
            </w:rPr>
            <w:t>Article 3</w:t>
          </w:r>
          <w:r>
            <w:rPr>
              <w:color w:val="0000FF"/>
              <w:lang w:val="en-CA"/>
            </w:rPr>
            <w:t xml:space="preserve"> LOCATIONAL MARGINAL PRICING</w:t>
          </w:r>
          <w:r>
            <w:rPr>
              <w:lang w:val="en-CA"/>
            </w:rPr>
            <w:tab/>
          </w:r>
          <w:hyperlink w:anchor="__RefHeading___Toc480081459">
            <w:r>
              <w:rPr>
                <w:rStyle w:val="IndexLink"/>
                <w:lang w:val="en-CA"/>
              </w:rPr>
              <w:t>15</w:t>
            </w:r>
          </w:hyperlink>
        </w:p>
        <w:p>
          <w:pPr>
            <w:pStyle w:val="TOC2"/>
            <w:tabs>
              <w:tab w:val="clear" w:pos="720"/>
              <w:tab w:val="left" w:pos="900" w:leader="none"/>
              <w:tab w:val="right" w:pos="9350" w:leader="dot"/>
            </w:tabs>
            <w:rPr>
              <w:lang w:val="en-CA"/>
            </w:rPr>
          </w:pPr>
          <w:r>
            <w:rPr>
              <w:b/>
              <w:lang w:val="en-CA"/>
            </w:rPr>
            <w:t>3.1</w:t>
          </w:r>
          <w:r>
            <w:rPr>
              <w:lang w:val="en-CA"/>
            </w:rPr>
            <w:tab/>
          </w:r>
          <w:r>
            <w:rPr>
              <w:b/>
              <w:color w:val="0000FF"/>
              <w:lang w:val="en-CA"/>
            </w:rPr>
            <w:t>Compensating Mechanism</w:t>
          </w:r>
          <w:r>
            <w:rPr>
              <w:lang w:val="en-CA"/>
            </w:rPr>
            <w:t>.</w:t>
            <w:tab/>
          </w:r>
          <w:hyperlink w:anchor="__RefHeading___Toc480081460">
            <w:r>
              <w:rPr>
                <w:rStyle w:val="IndexLink"/>
                <w:lang w:val="en-CA"/>
              </w:rPr>
              <w:t>15</w:t>
            </w:r>
          </w:hyperlink>
        </w:p>
        <w:p>
          <w:pPr>
            <w:pStyle w:val="TOC2"/>
            <w:tabs>
              <w:tab w:val="clear" w:pos="720"/>
              <w:tab w:val="left" w:pos="900" w:leader="none"/>
              <w:tab w:val="right" w:pos="9350" w:leader="dot"/>
            </w:tabs>
            <w:rPr>
              <w:lang w:val="en-CA"/>
            </w:rPr>
          </w:pPr>
          <w:r>
            <w:rPr>
              <w:b/>
              <w:lang w:val="en-CA"/>
            </w:rPr>
            <w:t>3.2</w:t>
          </w:r>
          <w:r>
            <w:rPr>
              <w:lang w:val="en-CA"/>
            </w:rPr>
            <w:tab/>
          </w:r>
          <w:r>
            <w:rPr>
              <w:b/>
              <w:color w:val="0000FF"/>
              <w:lang w:val="en-CA"/>
            </w:rPr>
            <w:t>Termination Right</w:t>
          </w:r>
          <w:r>
            <w:rPr>
              <w:lang w:val="en-CA"/>
            </w:rPr>
            <w:t>.</w:t>
            <w:tab/>
          </w:r>
          <w:hyperlink w:anchor="__RefHeading___Toc480081461">
            <w:r>
              <w:rPr>
                <w:rStyle w:val="IndexLink"/>
                <w:lang w:val="en-CA"/>
              </w:rPr>
              <w:t>18</w:t>
            </w:r>
          </w:hyperlink>
        </w:p>
        <w:p>
          <w:pPr>
            <w:pStyle w:val="TOC2"/>
            <w:tabs>
              <w:tab w:val="clear" w:pos="720"/>
              <w:tab w:val="left" w:pos="900" w:leader="none"/>
              <w:tab w:val="right" w:pos="9350" w:leader="dot"/>
            </w:tabs>
            <w:rPr>
              <w:lang w:val="en-CA"/>
            </w:rPr>
          </w:pPr>
          <w:r>
            <w:rPr>
              <w:b/>
              <w:lang w:val="en-CA"/>
            </w:rPr>
            <w:t>3.3</w:t>
          </w:r>
          <w:r>
            <w:rPr>
              <w:lang w:val="en-CA"/>
            </w:rPr>
            <w:tab/>
          </w:r>
          <w:r>
            <w:rPr>
              <w:b/>
              <w:color w:val="0000FF"/>
              <w:lang w:val="en-CA"/>
            </w:rPr>
            <w:t>Liability for Consequences of LMP</w:t>
          </w:r>
          <w:r>
            <w:rPr>
              <w:lang w:val="en-CA"/>
            </w:rPr>
            <w:t>..</w:t>
            <w:tab/>
          </w:r>
          <w:hyperlink w:anchor="__RefHeading___Toc480081462">
            <w:r>
              <w:rPr>
                <w:rStyle w:val="IndexLink"/>
                <w:lang w:val="en-CA"/>
              </w:rPr>
              <w:t>18</w:t>
            </w:r>
          </w:hyperlink>
        </w:p>
        <w:p>
          <w:pPr>
            <w:pStyle w:val="TOC2"/>
            <w:tabs>
              <w:tab w:val="clear" w:pos="720"/>
              <w:tab w:val="left" w:pos="900" w:leader="none"/>
              <w:tab w:val="right" w:pos="9350" w:leader="dot"/>
            </w:tabs>
            <w:rPr>
              <w:lang w:val="en-CA"/>
            </w:rPr>
          </w:pPr>
          <w:r>
            <w:rPr>
              <w:b/>
              <w:lang w:val="en-CA"/>
            </w:rPr>
            <w:t>3.4</w:t>
          </w:r>
          <w:r>
            <w:rPr>
              <w:lang w:val="en-CA"/>
            </w:rPr>
            <w:tab/>
          </w:r>
          <w:r>
            <w:rPr>
              <w:b/>
              <w:color w:val="0000FF"/>
              <w:lang w:val="en-CA"/>
            </w:rPr>
            <w:t>Pre-existing Uplift Charges</w:t>
          </w:r>
          <w:r>
            <w:rPr>
              <w:lang w:val="en-CA"/>
            </w:rPr>
            <w:t xml:space="preserve"> ..</w:t>
            <w:tab/>
          </w:r>
          <w:hyperlink w:anchor="__RefHeading___Toc480081463">
            <w:r>
              <w:rPr>
                <w:rStyle w:val="IndexLink"/>
                <w:lang w:val="en-CA"/>
              </w:rPr>
              <w:t>19</w:t>
            </w:r>
          </w:hyperlink>
        </w:p>
        <w:p>
          <w:pPr>
            <w:pStyle w:val="TOC1"/>
            <w:tabs>
              <w:tab w:val="clear" w:pos="720"/>
              <w:tab w:val="right" w:pos="9350" w:leader="dot"/>
            </w:tabs>
            <w:rPr>
              <w:lang w:val="en-CA"/>
            </w:rPr>
          </w:pPr>
          <w:r>
            <w:rPr>
              <w:lang w:val="en-CA"/>
            </w:rPr>
            <w:t>Article 4</w:t>
          </w:r>
          <w:r>
            <w:rPr>
              <w:color w:val="0000FF"/>
              <w:lang w:val="en-CA"/>
            </w:rPr>
            <w:t xml:space="preserve"> BILLING AND PAYMENT</w:t>
          </w:r>
          <w:r>
            <w:rPr>
              <w:lang w:val="en-CA"/>
            </w:rPr>
            <w:tab/>
          </w:r>
          <w:hyperlink w:anchor="__RefHeading___Toc480081464">
            <w:r>
              <w:rPr>
                <w:rStyle w:val="IndexLink"/>
                <w:lang w:val="en-CA"/>
              </w:rPr>
              <w:t>19</w:t>
            </w:r>
          </w:hyperlink>
        </w:p>
        <w:p>
          <w:pPr>
            <w:pStyle w:val="TOC2"/>
            <w:tabs>
              <w:tab w:val="clear" w:pos="720"/>
              <w:tab w:val="left" w:pos="900" w:leader="none"/>
              <w:tab w:val="right" w:pos="9350" w:leader="dot"/>
            </w:tabs>
            <w:rPr>
              <w:lang w:val="en-CA"/>
            </w:rPr>
          </w:pPr>
          <w:r>
            <w:rPr>
              <w:b/>
              <w:lang w:val="en-CA"/>
            </w:rPr>
            <w:t>4.1</w:t>
          </w:r>
          <w:r>
            <w:rPr>
              <w:lang w:val="en-CA"/>
            </w:rPr>
            <w:tab/>
          </w:r>
          <w:r>
            <w:rPr>
              <w:b/>
              <w:color w:val="0000FF"/>
              <w:lang w:val="en-CA"/>
            </w:rPr>
            <w:t>Billing Statement</w:t>
          </w:r>
          <w:r>
            <w:rPr>
              <w:lang w:val="en-CA"/>
            </w:rPr>
            <w:t>..</w:t>
            <w:tab/>
          </w:r>
          <w:hyperlink w:anchor="__RefHeading___Toc480081465">
            <w:r>
              <w:rPr>
                <w:rStyle w:val="IndexLink"/>
                <w:lang w:val="en-CA"/>
              </w:rPr>
              <w:t>19</w:t>
            </w:r>
          </w:hyperlink>
        </w:p>
        <w:p>
          <w:pPr>
            <w:pStyle w:val="TOC2"/>
            <w:tabs>
              <w:tab w:val="clear" w:pos="720"/>
              <w:tab w:val="left" w:pos="900" w:leader="none"/>
              <w:tab w:val="right" w:pos="9350" w:leader="dot"/>
            </w:tabs>
            <w:rPr>
              <w:lang w:val="en-CA"/>
            </w:rPr>
          </w:pPr>
          <w:r>
            <w:rPr>
              <w:b/>
              <w:lang w:val="en-CA"/>
            </w:rPr>
            <w:t>4.2</w:t>
          </w:r>
          <w:r>
            <w:rPr>
              <w:lang w:val="en-CA"/>
            </w:rPr>
            <w:tab/>
          </w:r>
          <w:r>
            <w:rPr>
              <w:b/>
              <w:color w:val="0000FF"/>
              <w:lang w:val="en-CA"/>
            </w:rPr>
            <w:t>Payments</w:t>
          </w:r>
          <w:r>
            <w:rPr>
              <w:lang w:val="en-CA"/>
            </w:rPr>
            <w:t>.</w:t>
            <w:tab/>
          </w:r>
          <w:hyperlink w:anchor="__RefHeading___Toc480081466">
            <w:r>
              <w:rPr>
                <w:rStyle w:val="IndexLink"/>
                <w:lang w:val="en-CA"/>
              </w:rPr>
              <w:t>19</w:t>
            </w:r>
          </w:hyperlink>
        </w:p>
        <w:p>
          <w:pPr>
            <w:pStyle w:val="TOC2"/>
            <w:tabs>
              <w:tab w:val="clear" w:pos="720"/>
              <w:tab w:val="left" w:pos="900" w:leader="none"/>
              <w:tab w:val="right" w:pos="9350" w:leader="dot"/>
            </w:tabs>
            <w:rPr>
              <w:lang w:val="en-CA"/>
            </w:rPr>
          </w:pPr>
          <w:r>
            <w:rPr>
              <w:b/>
              <w:lang w:val="en-CA"/>
            </w:rPr>
            <w:t>4.3</w:t>
          </w:r>
          <w:r>
            <w:rPr>
              <w:lang w:val="en-CA"/>
            </w:rPr>
            <w:tab/>
          </w:r>
          <w:r>
            <w:rPr>
              <w:b/>
              <w:color w:val="0000FF"/>
              <w:lang w:val="en-CA"/>
            </w:rPr>
            <w:t>Disputed Billing Statement</w:t>
          </w:r>
          <w:r>
            <w:rPr>
              <w:lang w:val="en-CA"/>
            </w:rPr>
            <w:t>..</w:t>
            <w:tab/>
          </w:r>
          <w:hyperlink w:anchor="__RefHeading___Toc480081467">
            <w:r>
              <w:rPr>
                <w:rStyle w:val="IndexLink"/>
                <w:lang w:val="en-CA"/>
              </w:rPr>
              <w:t>19</w:t>
            </w:r>
          </w:hyperlink>
        </w:p>
        <w:p>
          <w:pPr>
            <w:pStyle w:val="TOC2"/>
            <w:tabs>
              <w:tab w:val="clear" w:pos="720"/>
              <w:tab w:val="left" w:pos="900" w:leader="none"/>
              <w:tab w:val="right" w:pos="9350" w:leader="dot"/>
            </w:tabs>
            <w:rPr>
              <w:lang w:val="en-CA"/>
            </w:rPr>
          </w:pPr>
          <w:r>
            <w:rPr>
              <w:b/>
              <w:lang w:val="en-CA"/>
            </w:rPr>
            <w:t>4.4</w:t>
          </w:r>
          <w:r>
            <w:rPr>
              <w:lang w:val="en-CA"/>
            </w:rPr>
            <w:tab/>
          </w:r>
          <w:r>
            <w:rPr>
              <w:b/>
              <w:color w:val="0000FF"/>
              <w:lang w:val="en-CA"/>
            </w:rPr>
            <w:t>Audit</w:t>
          </w:r>
          <w:r>
            <w:rPr>
              <w:lang w:val="en-CA"/>
            </w:rPr>
            <w:t>..</w:t>
            <w:tab/>
          </w:r>
          <w:hyperlink w:anchor="__RefHeading___Toc480081468">
            <w:r>
              <w:rPr>
                <w:rStyle w:val="IndexLink"/>
                <w:lang w:val="en-CA"/>
              </w:rPr>
              <w:t>20</w:t>
            </w:r>
          </w:hyperlink>
        </w:p>
        <w:p>
          <w:pPr>
            <w:pStyle w:val="TOC1"/>
            <w:tabs>
              <w:tab w:val="clear" w:pos="720"/>
              <w:tab w:val="right" w:pos="9350" w:leader="dot"/>
            </w:tabs>
            <w:rPr>
              <w:lang w:val="en-CA"/>
            </w:rPr>
          </w:pPr>
          <w:r>
            <w:rPr>
              <w:lang w:val="en-CA"/>
            </w:rPr>
            <w:t>Article 5</w:t>
          </w:r>
          <w:r>
            <w:rPr>
              <w:color w:val="0000FF"/>
              <w:lang w:val="en-CA"/>
            </w:rPr>
            <w:t xml:space="preserve"> IMO DATA, OPERATION AND MAINTENANCE</w:t>
          </w:r>
          <w:r>
            <w:rPr>
              <w:lang w:val="en-CA"/>
            </w:rPr>
            <w:tab/>
          </w:r>
          <w:hyperlink w:anchor="__RefHeading___Toc480081469">
            <w:r>
              <w:rPr>
                <w:rStyle w:val="IndexLink"/>
                <w:lang w:val="en-CA"/>
              </w:rPr>
              <w:t>20</w:t>
            </w:r>
          </w:hyperlink>
        </w:p>
        <w:p>
          <w:pPr>
            <w:pStyle w:val="TOC2"/>
            <w:tabs>
              <w:tab w:val="clear" w:pos="720"/>
              <w:tab w:val="left" w:pos="900" w:leader="none"/>
              <w:tab w:val="right" w:pos="9350" w:leader="dot"/>
            </w:tabs>
            <w:rPr>
              <w:lang w:val="en-CA"/>
            </w:rPr>
          </w:pPr>
          <w:r>
            <w:rPr>
              <w:b/>
              <w:lang w:val="en-CA"/>
            </w:rPr>
            <w:t>5.1</w:t>
          </w:r>
          <w:r>
            <w:rPr>
              <w:lang w:val="en-CA"/>
            </w:rPr>
            <w:tab/>
          </w:r>
          <w:r>
            <w:rPr>
              <w:b/>
              <w:color w:val="0000FF"/>
              <w:lang w:val="en-CA"/>
            </w:rPr>
            <w:t>Access to Data; Confirmation of Deliveries</w:t>
          </w:r>
          <w:r>
            <w:rPr>
              <w:lang w:val="en-CA"/>
            </w:rPr>
            <w:t>.</w:t>
            <w:tab/>
          </w:r>
          <w:hyperlink w:anchor="__RefHeading___Toc480081470">
            <w:r>
              <w:rPr>
                <w:rStyle w:val="IndexLink"/>
                <w:lang w:val="en-CA"/>
              </w:rPr>
              <w:t>20</w:t>
            </w:r>
          </w:hyperlink>
        </w:p>
        <w:p>
          <w:pPr>
            <w:pStyle w:val="TOC2"/>
            <w:tabs>
              <w:tab w:val="clear" w:pos="720"/>
              <w:tab w:val="left" w:pos="900" w:leader="none"/>
              <w:tab w:val="right" w:pos="9350" w:leader="dot"/>
            </w:tabs>
            <w:rPr>
              <w:lang w:val="en-CA"/>
            </w:rPr>
          </w:pPr>
          <w:r>
            <w:rPr>
              <w:b/>
              <w:lang w:val="en-CA"/>
            </w:rPr>
            <w:t>5.2</w:t>
          </w:r>
          <w:r>
            <w:rPr>
              <w:lang w:val="en-CA"/>
            </w:rPr>
            <w:tab/>
          </w:r>
          <w:r>
            <w:rPr>
              <w:b/>
              <w:color w:val="0000FF"/>
              <w:lang w:val="en-CA"/>
            </w:rPr>
            <w:t>Operation and Maintenance</w:t>
          </w:r>
          <w:r>
            <w:rPr>
              <w:lang w:val="en-CA"/>
            </w:rPr>
            <w:t>.</w:t>
            <w:tab/>
          </w:r>
          <w:hyperlink w:anchor="__RefHeading___Toc480081473">
            <w:r>
              <w:rPr>
                <w:rStyle w:val="IndexLink"/>
                <w:lang w:val="en-CA"/>
              </w:rPr>
              <w:t>20</w:t>
            </w:r>
          </w:hyperlink>
        </w:p>
        <w:p>
          <w:pPr>
            <w:pStyle w:val="TOC2"/>
            <w:tabs>
              <w:tab w:val="clear" w:pos="720"/>
              <w:tab w:val="left" w:pos="900" w:leader="none"/>
              <w:tab w:val="right" w:pos="9350" w:leader="dot"/>
            </w:tabs>
            <w:rPr>
              <w:lang w:val="en-CA"/>
            </w:rPr>
          </w:pPr>
          <w:r>
            <w:rPr>
              <w:b/>
              <w:lang w:val="en-CA"/>
            </w:rPr>
            <w:t>5.3</w:t>
          </w:r>
          <w:r>
            <w:rPr>
              <w:lang w:val="en-CA"/>
            </w:rPr>
            <w:tab/>
          </w:r>
          <w:r>
            <w:rPr>
              <w:b/>
              <w:lang w:val="en-CA"/>
            </w:rPr>
            <w:t>No Affect on Delivery Obligation</w:t>
          </w:r>
          <w:r>
            <w:rPr>
              <w:lang w:val="en-CA"/>
            </w:rPr>
            <w:t>..</w:t>
            <w:tab/>
          </w:r>
          <w:hyperlink w:anchor="__RefHeading___Toc480081476">
            <w:r>
              <w:rPr>
                <w:rStyle w:val="IndexLink"/>
                <w:lang w:val="en-CA"/>
              </w:rPr>
              <w:t>21</w:t>
            </w:r>
          </w:hyperlink>
        </w:p>
        <w:p>
          <w:pPr>
            <w:pStyle w:val="TOC1"/>
            <w:tabs>
              <w:tab w:val="clear" w:pos="720"/>
              <w:tab w:val="right" w:pos="9350" w:leader="dot"/>
            </w:tabs>
            <w:rPr>
              <w:lang w:val="en-CA"/>
            </w:rPr>
          </w:pPr>
          <w:r>
            <w:rPr>
              <w:lang w:val="en-CA"/>
            </w:rPr>
            <w:t>Article 6</w:t>
          </w:r>
          <w:r>
            <w:rPr>
              <w:color w:val="0000FF"/>
              <w:lang w:val="en-CA"/>
            </w:rPr>
            <w:t xml:space="preserve"> REPRESENTATIONS AND WARRANTIES</w:t>
          </w:r>
          <w:r>
            <w:rPr>
              <w:lang w:val="en-CA"/>
            </w:rPr>
            <w:tab/>
          </w:r>
          <w:hyperlink w:anchor="__RefHeading___Toc480081477">
            <w:r>
              <w:rPr>
                <w:rStyle w:val="IndexLink"/>
                <w:lang w:val="en-CA"/>
              </w:rPr>
              <w:t>21</w:t>
            </w:r>
          </w:hyperlink>
        </w:p>
        <w:p>
          <w:pPr>
            <w:pStyle w:val="TOC2"/>
            <w:tabs>
              <w:tab w:val="clear" w:pos="720"/>
              <w:tab w:val="left" w:pos="900" w:leader="none"/>
              <w:tab w:val="right" w:pos="9350" w:leader="dot"/>
            </w:tabs>
            <w:rPr>
              <w:lang w:val="en-CA"/>
            </w:rPr>
          </w:pPr>
          <w:r>
            <w:rPr>
              <w:b/>
              <w:lang w:val="en-CA"/>
            </w:rPr>
            <w:t>6.1</w:t>
          </w:r>
          <w:r>
            <w:rPr>
              <w:lang w:val="en-CA"/>
            </w:rPr>
            <w:tab/>
          </w:r>
          <w:r>
            <w:rPr>
              <w:b/>
              <w:color w:val="0000FF"/>
              <w:lang w:val="en-CA"/>
            </w:rPr>
            <w:t>Representations and Warranties</w:t>
          </w:r>
          <w:r>
            <w:rPr>
              <w:lang w:val="en-CA"/>
            </w:rPr>
            <w:t xml:space="preserve">. </w:t>
            <w:tab/>
          </w:r>
          <w:hyperlink w:anchor="__RefHeading___Toc480081478">
            <w:r>
              <w:rPr>
                <w:rStyle w:val="IndexLink"/>
                <w:lang w:val="en-CA"/>
              </w:rPr>
              <w:t>21</w:t>
            </w:r>
          </w:hyperlink>
        </w:p>
        <w:p>
          <w:pPr>
            <w:pStyle w:val="TOC1"/>
            <w:tabs>
              <w:tab w:val="clear" w:pos="720"/>
              <w:tab w:val="right" w:pos="9350" w:leader="dot"/>
            </w:tabs>
            <w:rPr>
              <w:lang w:val="en-CA"/>
            </w:rPr>
          </w:pPr>
          <w:r>
            <w:rPr>
              <w:lang w:val="en-CA"/>
            </w:rPr>
            <w:t>Article 7</w:t>
          </w:r>
          <w:r>
            <w:rPr>
              <w:color w:val="0000FF"/>
              <w:lang w:val="en-CA"/>
            </w:rPr>
            <w:t xml:space="preserve"> EVENTS OF DEFAULT AND REMEDIES</w:t>
          </w:r>
          <w:r>
            <w:rPr>
              <w:lang w:val="en-CA"/>
            </w:rPr>
            <w:tab/>
          </w:r>
          <w:hyperlink w:anchor="__RefHeading___Toc480081479">
            <w:r>
              <w:rPr>
                <w:rStyle w:val="IndexLink"/>
                <w:lang w:val="en-CA"/>
              </w:rPr>
              <w:t>22</w:t>
            </w:r>
          </w:hyperlink>
        </w:p>
        <w:p>
          <w:pPr>
            <w:pStyle w:val="TOC2"/>
            <w:tabs>
              <w:tab w:val="clear" w:pos="720"/>
              <w:tab w:val="left" w:pos="900" w:leader="none"/>
              <w:tab w:val="right" w:pos="9350" w:leader="dot"/>
            </w:tabs>
            <w:rPr>
              <w:lang w:val="en-CA"/>
            </w:rPr>
          </w:pPr>
          <w:r>
            <w:rPr>
              <w:b/>
              <w:lang w:val="en-CA"/>
            </w:rPr>
            <w:t>7.1</w:t>
          </w:r>
          <w:r>
            <w:rPr>
              <w:lang w:val="en-CA"/>
            </w:rPr>
            <w:tab/>
          </w:r>
          <w:r>
            <w:rPr>
              <w:b/>
              <w:color w:val="0000FF"/>
              <w:lang w:val="en-CA"/>
            </w:rPr>
            <w:t>Events of Default</w:t>
          </w:r>
          <w:r>
            <w:rPr>
              <w:lang w:val="en-CA"/>
            </w:rPr>
            <w:t>.</w:t>
            <w:tab/>
          </w:r>
          <w:hyperlink w:anchor="__RefHeading___Toc480081480">
            <w:r>
              <w:rPr>
                <w:rStyle w:val="IndexLink"/>
                <w:lang w:val="en-CA"/>
              </w:rPr>
              <w:t>22</w:t>
            </w:r>
          </w:hyperlink>
        </w:p>
        <w:p>
          <w:pPr>
            <w:pStyle w:val="TOC2"/>
            <w:tabs>
              <w:tab w:val="clear" w:pos="720"/>
              <w:tab w:val="left" w:pos="900" w:leader="none"/>
              <w:tab w:val="right" w:pos="9350" w:leader="dot"/>
            </w:tabs>
            <w:rPr>
              <w:lang w:val="en-CA"/>
            </w:rPr>
          </w:pPr>
          <w:r>
            <w:rPr>
              <w:b/>
              <w:lang w:val="en-CA"/>
            </w:rPr>
            <w:t>7.2</w:t>
          </w:r>
          <w:r>
            <w:rPr>
              <w:lang w:val="en-CA"/>
            </w:rPr>
            <w:tab/>
          </w:r>
          <w:r>
            <w:rPr>
              <w:b/>
              <w:color w:val="0000FF"/>
              <w:lang w:val="en-CA"/>
            </w:rPr>
            <w:t>Remedies Upon an Event of Default</w:t>
          </w:r>
          <w:r>
            <w:rPr>
              <w:lang w:val="en-CA"/>
            </w:rPr>
            <w:t>.</w:t>
            <w:tab/>
          </w:r>
          <w:hyperlink w:anchor="__RefHeading___Toc480081481">
            <w:r>
              <w:rPr>
                <w:rStyle w:val="IndexLink"/>
                <w:lang w:val="en-CA"/>
              </w:rPr>
              <w:t>25</w:t>
            </w:r>
          </w:hyperlink>
        </w:p>
        <w:p>
          <w:pPr>
            <w:pStyle w:val="TOC1"/>
            <w:tabs>
              <w:tab w:val="clear" w:pos="720"/>
              <w:tab w:val="right" w:pos="9350" w:leader="dot"/>
            </w:tabs>
            <w:rPr>
              <w:lang w:val="en-CA"/>
            </w:rPr>
          </w:pPr>
          <w:r>
            <w:rPr>
              <w:lang w:val="en-CA"/>
            </w:rPr>
            <w:t>Article 8</w:t>
          </w:r>
          <w:r>
            <w:rPr>
              <w:color w:val="0000FF"/>
              <w:lang w:val="en-CA"/>
            </w:rPr>
            <w:t xml:space="preserve"> EXPOSURE THRESHOLDS; COLLATERAL REQUIREMENT</w:t>
          </w:r>
          <w:r>
            <w:rPr>
              <w:lang w:val="en-CA"/>
            </w:rPr>
            <w:tab/>
          </w:r>
          <w:hyperlink w:anchor="__RefHeading___Toc480081483">
            <w:r>
              <w:rPr>
                <w:rStyle w:val="IndexLink"/>
                <w:lang w:val="en-CA"/>
              </w:rPr>
              <w:t>26</w:t>
            </w:r>
          </w:hyperlink>
        </w:p>
        <w:p>
          <w:pPr>
            <w:pStyle w:val="TOC2"/>
            <w:tabs>
              <w:tab w:val="clear" w:pos="720"/>
              <w:tab w:val="left" w:pos="900" w:leader="none"/>
              <w:tab w:val="right" w:pos="9350" w:leader="dot"/>
            </w:tabs>
            <w:rPr>
              <w:lang w:val="en-CA"/>
            </w:rPr>
          </w:pPr>
          <w:r>
            <w:rPr>
              <w:b/>
              <w:lang w:val="en-CA"/>
            </w:rPr>
            <w:t>8.1</w:t>
          </w:r>
          <w:r>
            <w:rPr>
              <w:lang w:val="en-CA"/>
            </w:rPr>
            <w:tab/>
          </w:r>
          <w:r>
            <w:rPr>
              <w:b/>
              <w:color w:val="0000FF"/>
              <w:lang w:val="en-CA"/>
            </w:rPr>
            <w:t>Seller’s Collateral Requirement</w:t>
          </w:r>
          <w:r>
            <w:rPr>
              <w:lang w:val="en-CA"/>
            </w:rPr>
            <w:t>.</w:t>
            <w:tab/>
          </w:r>
          <w:hyperlink w:anchor="__RefHeading___Toc480081484">
            <w:r>
              <w:rPr>
                <w:rStyle w:val="IndexLink"/>
                <w:lang w:val="en-CA"/>
              </w:rPr>
              <w:t>26</w:t>
            </w:r>
          </w:hyperlink>
        </w:p>
        <w:p>
          <w:pPr>
            <w:pStyle w:val="TOC2"/>
            <w:tabs>
              <w:tab w:val="clear" w:pos="720"/>
              <w:tab w:val="left" w:pos="900" w:leader="none"/>
              <w:tab w:val="right" w:pos="9350" w:leader="dot"/>
            </w:tabs>
            <w:rPr>
              <w:lang w:val="en-CA"/>
            </w:rPr>
          </w:pPr>
          <w:r>
            <w:rPr>
              <w:b/>
              <w:lang w:val="en-CA"/>
            </w:rPr>
            <w:t>8.2</w:t>
          </w:r>
          <w:r>
            <w:rPr>
              <w:lang w:val="en-CA"/>
            </w:rPr>
            <w:tab/>
          </w:r>
          <w:r>
            <w:rPr>
              <w:b/>
              <w:color w:val="0000FF"/>
              <w:lang w:val="en-CA"/>
            </w:rPr>
            <w:t>Buyer’s Collateral Requirement</w:t>
          </w:r>
          <w:r>
            <w:rPr>
              <w:lang w:val="en-CA"/>
            </w:rPr>
            <w:t>.</w:t>
            <w:tab/>
          </w:r>
          <w:hyperlink w:anchor="__RefHeading___Toc480081488">
            <w:r>
              <w:rPr>
                <w:rStyle w:val="IndexLink"/>
                <w:lang w:val="en-CA"/>
              </w:rPr>
              <w:t>27</w:t>
            </w:r>
          </w:hyperlink>
        </w:p>
        <w:p>
          <w:pPr>
            <w:pStyle w:val="TOC1"/>
            <w:tabs>
              <w:tab w:val="clear" w:pos="720"/>
              <w:tab w:val="right" w:pos="9350" w:leader="dot"/>
            </w:tabs>
            <w:rPr>
              <w:lang w:val="en-CA"/>
            </w:rPr>
          </w:pPr>
          <w:r>
            <w:rPr>
              <w:lang w:val="en-CA"/>
            </w:rPr>
            <w:t>Article 9</w:t>
          </w:r>
          <w:r>
            <w:rPr>
              <w:color w:val="0000FF"/>
              <w:lang w:val="en-CA"/>
            </w:rPr>
            <w:t xml:space="preserve"> REMEDIES; LIMITATION OF LIABILITY</w:t>
          </w:r>
          <w:r>
            <w:rPr>
              <w:lang w:val="en-CA"/>
            </w:rPr>
            <w:tab/>
          </w:r>
          <w:hyperlink w:anchor="__RefHeading___Toc480081492">
            <w:r>
              <w:rPr>
                <w:rStyle w:val="IndexLink"/>
                <w:lang w:val="en-CA"/>
              </w:rPr>
              <w:t>27</w:t>
            </w:r>
          </w:hyperlink>
        </w:p>
        <w:p>
          <w:pPr>
            <w:pStyle w:val="TOC2"/>
            <w:tabs>
              <w:tab w:val="clear" w:pos="720"/>
              <w:tab w:val="left" w:pos="900" w:leader="none"/>
              <w:tab w:val="right" w:pos="9350" w:leader="dot"/>
            </w:tabs>
            <w:rPr>
              <w:lang w:val="en-CA"/>
            </w:rPr>
          </w:pPr>
          <w:r>
            <w:rPr>
              <w:b/>
              <w:lang w:val="en-CA"/>
            </w:rPr>
            <w:t>9.1</w:t>
          </w:r>
          <w:r>
            <w:rPr>
              <w:lang w:val="en-CA"/>
            </w:rPr>
            <w:tab/>
          </w:r>
          <w:r>
            <w:rPr>
              <w:b/>
              <w:color w:val="0000FF"/>
              <w:lang w:val="en-CA"/>
            </w:rPr>
            <w:t>Remedies; Limitation of Liability</w:t>
          </w:r>
          <w:r>
            <w:rPr>
              <w:lang w:val="en-CA"/>
            </w:rPr>
            <w:t>..</w:t>
            <w:tab/>
          </w:r>
          <w:hyperlink w:anchor="__RefHeading___Toc480081493">
            <w:r>
              <w:rPr>
                <w:rStyle w:val="IndexLink"/>
                <w:lang w:val="en-CA"/>
              </w:rPr>
              <w:t>27</w:t>
            </w:r>
          </w:hyperlink>
        </w:p>
        <w:p>
          <w:pPr>
            <w:pStyle w:val="TOC2"/>
            <w:tabs>
              <w:tab w:val="clear" w:pos="720"/>
              <w:tab w:val="left" w:pos="900" w:leader="none"/>
              <w:tab w:val="right" w:pos="9350" w:leader="dot"/>
            </w:tabs>
            <w:rPr>
              <w:lang w:val="en-CA"/>
            </w:rPr>
          </w:pPr>
          <w:r>
            <w:rPr>
              <w:b/>
              <w:lang w:val="en-CA"/>
            </w:rPr>
            <w:t>9.2</w:t>
          </w:r>
          <w:r>
            <w:rPr>
              <w:lang w:val="en-CA"/>
            </w:rPr>
            <w:tab/>
          </w:r>
          <w:r>
            <w:rPr>
              <w:b/>
              <w:color w:val="0000FF"/>
              <w:lang w:val="en-CA"/>
            </w:rPr>
            <w:t>Liquidated Damages</w:t>
          </w:r>
          <w:r>
            <w:rPr>
              <w:lang w:val="en-CA"/>
            </w:rPr>
            <w:t>.</w:t>
            <w:tab/>
          </w:r>
          <w:hyperlink w:anchor="__RefHeading___Toc480081494">
            <w:r>
              <w:rPr>
                <w:rStyle w:val="IndexLink"/>
                <w:lang w:val="en-CA"/>
              </w:rPr>
              <w:t>28</w:t>
            </w:r>
          </w:hyperlink>
        </w:p>
        <w:p>
          <w:pPr>
            <w:pStyle w:val="TOC2"/>
            <w:tabs>
              <w:tab w:val="clear" w:pos="720"/>
              <w:tab w:val="left" w:pos="900" w:leader="none"/>
              <w:tab w:val="right" w:pos="9350" w:leader="dot"/>
            </w:tabs>
            <w:rPr>
              <w:lang w:val="en-CA"/>
            </w:rPr>
          </w:pPr>
          <w:r>
            <w:rPr>
              <w:b/>
              <w:lang w:val="en-CA"/>
            </w:rPr>
            <w:t>9.3</w:t>
          </w:r>
          <w:r>
            <w:rPr>
              <w:lang w:val="en-CA"/>
            </w:rPr>
            <w:tab/>
          </w:r>
          <w:r>
            <w:rPr>
              <w:b/>
              <w:color w:val="0000FF"/>
              <w:lang w:val="en-CA"/>
            </w:rPr>
            <w:t>Set Off</w:t>
          </w:r>
          <w:r>
            <w:rPr>
              <w:lang w:val="en-CA"/>
            </w:rPr>
            <w:t>..</w:t>
            <w:tab/>
          </w:r>
          <w:hyperlink w:anchor="__RefHeading___Toc480081495">
            <w:r>
              <w:rPr>
                <w:rStyle w:val="IndexLink"/>
                <w:lang w:val="en-CA"/>
              </w:rPr>
              <w:t>28</w:t>
            </w:r>
          </w:hyperlink>
        </w:p>
        <w:p>
          <w:pPr>
            <w:pStyle w:val="TOC2"/>
            <w:tabs>
              <w:tab w:val="clear" w:pos="720"/>
              <w:tab w:val="left" w:pos="900" w:leader="none"/>
              <w:tab w:val="right" w:pos="9350" w:leader="dot"/>
            </w:tabs>
            <w:rPr>
              <w:lang w:val="en-CA"/>
            </w:rPr>
          </w:pPr>
          <w:r>
            <w:rPr>
              <w:b/>
              <w:lang w:val="en-CA"/>
            </w:rPr>
            <w:t>9.4</w:t>
          </w:r>
          <w:r>
            <w:rPr>
              <w:lang w:val="en-CA"/>
            </w:rPr>
            <w:tab/>
          </w:r>
          <w:r>
            <w:rPr>
              <w:b/>
              <w:color w:val="0000FF"/>
              <w:lang w:val="en-CA"/>
            </w:rPr>
            <w:t>Guarantees</w:t>
          </w:r>
          <w:r>
            <w:rPr>
              <w:lang w:val="en-CA"/>
            </w:rPr>
            <w:t>.</w:t>
            <w:tab/>
          </w:r>
          <w:hyperlink w:anchor="__RefHeading___Toc480081496">
            <w:r>
              <w:rPr>
                <w:rStyle w:val="IndexLink"/>
                <w:lang w:val="en-CA"/>
              </w:rPr>
              <w:t>28</w:t>
            </w:r>
          </w:hyperlink>
        </w:p>
        <w:p>
          <w:pPr>
            <w:pStyle w:val="TOC1"/>
            <w:tabs>
              <w:tab w:val="clear" w:pos="720"/>
              <w:tab w:val="right" w:pos="9350" w:leader="dot"/>
            </w:tabs>
            <w:rPr>
              <w:lang w:val="en-CA"/>
            </w:rPr>
          </w:pPr>
          <w:r>
            <w:rPr>
              <w:lang w:val="en-CA"/>
            </w:rPr>
            <w:t>Article 10</w:t>
          </w:r>
          <w:r>
            <w:rPr>
              <w:color w:val="0000FF"/>
              <w:lang w:val="en-CA"/>
            </w:rPr>
            <w:t xml:space="preserve"> CONDITIONS precedent</w:t>
          </w:r>
          <w:r>
            <w:rPr>
              <w:lang w:val="en-CA"/>
            </w:rPr>
            <w:tab/>
          </w:r>
          <w:hyperlink w:anchor="__RefHeading___Toc480081497">
            <w:r>
              <w:rPr>
                <w:rStyle w:val="IndexLink"/>
                <w:lang w:val="en-CA"/>
              </w:rPr>
              <w:t>28</w:t>
            </w:r>
          </w:hyperlink>
        </w:p>
        <w:p>
          <w:pPr>
            <w:pStyle w:val="TOC2"/>
            <w:tabs>
              <w:tab w:val="clear" w:pos="720"/>
              <w:tab w:val="left" w:pos="900" w:leader="none"/>
              <w:tab w:val="right" w:pos="9350" w:leader="dot"/>
            </w:tabs>
            <w:rPr>
              <w:lang w:val="en-CA"/>
            </w:rPr>
          </w:pPr>
          <w:r>
            <w:rPr>
              <w:b/>
              <w:lang w:val="en-CA"/>
            </w:rPr>
            <w:t>10.1</w:t>
          </w:r>
          <w:r>
            <w:rPr>
              <w:lang w:val="en-CA"/>
            </w:rPr>
            <w:tab/>
          </w:r>
          <w:r>
            <w:rPr>
              <w:b/>
              <w:color w:val="0000FF"/>
              <w:lang w:val="en-CA"/>
            </w:rPr>
            <w:t>Buyer’s Conditions</w:t>
          </w:r>
          <w:r>
            <w:rPr>
              <w:lang w:val="en-CA"/>
            </w:rPr>
            <w:t>..</w:t>
            <w:tab/>
          </w:r>
          <w:hyperlink w:anchor="__RefHeading___Toc480081498">
            <w:r>
              <w:rPr>
                <w:rStyle w:val="IndexLink"/>
                <w:lang w:val="en-CA"/>
              </w:rPr>
              <w:t>28</w:t>
            </w:r>
          </w:hyperlink>
        </w:p>
        <w:p>
          <w:pPr>
            <w:pStyle w:val="TOC2"/>
            <w:tabs>
              <w:tab w:val="clear" w:pos="720"/>
              <w:tab w:val="left" w:pos="900" w:leader="none"/>
              <w:tab w:val="right" w:pos="9350" w:leader="dot"/>
            </w:tabs>
            <w:rPr>
              <w:lang w:val="en-CA"/>
            </w:rPr>
          </w:pPr>
          <w:r>
            <w:rPr>
              <w:b/>
              <w:lang w:val="en-CA"/>
            </w:rPr>
            <w:t>10.2</w:t>
          </w:r>
          <w:r>
            <w:rPr>
              <w:lang w:val="en-CA"/>
            </w:rPr>
            <w:tab/>
          </w:r>
          <w:r>
            <w:rPr>
              <w:b/>
              <w:color w:val="0000FF"/>
              <w:lang w:val="en-CA"/>
            </w:rPr>
            <w:t>Seller’s Conditions</w:t>
          </w:r>
          <w:r>
            <w:rPr>
              <w:lang w:val="en-CA"/>
            </w:rPr>
            <w:t>..</w:t>
            <w:tab/>
          </w:r>
          <w:hyperlink w:anchor="__RefHeading___Toc480081499">
            <w:r>
              <w:rPr>
                <w:rStyle w:val="IndexLink"/>
                <w:lang w:val="en-CA"/>
              </w:rPr>
              <w:t>28</w:t>
            </w:r>
          </w:hyperlink>
        </w:p>
        <w:p>
          <w:pPr>
            <w:pStyle w:val="TOC2"/>
            <w:tabs>
              <w:tab w:val="clear" w:pos="720"/>
              <w:tab w:val="left" w:pos="900" w:leader="none"/>
              <w:tab w:val="right" w:pos="9350" w:leader="dot"/>
            </w:tabs>
            <w:rPr>
              <w:lang w:val="en-CA"/>
            </w:rPr>
          </w:pPr>
          <w:r>
            <w:rPr>
              <w:b/>
              <w:lang w:val="en-CA"/>
            </w:rPr>
            <w:t>10.3</w:t>
          </w:r>
          <w:r>
            <w:rPr>
              <w:lang w:val="en-CA"/>
            </w:rPr>
            <w:tab/>
          </w:r>
          <w:r>
            <w:rPr>
              <w:b/>
              <w:color w:val="0000FF"/>
              <w:lang w:val="en-CA"/>
            </w:rPr>
            <w:t>Mutual Condition Precedent</w:t>
          </w:r>
          <w:r>
            <w:rPr>
              <w:lang w:val="en-CA"/>
            </w:rPr>
            <w:t>..</w:t>
            <w:tab/>
          </w:r>
          <w:hyperlink w:anchor="__RefHeading___Toc480081500">
            <w:r>
              <w:rPr>
                <w:rStyle w:val="IndexLink"/>
                <w:lang w:val="en-CA"/>
              </w:rPr>
              <w:t>28</w:t>
            </w:r>
          </w:hyperlink>
        </w:p>
        <w:p>
          <w:pPr>
            <w:pStyle w:val="TOC2"/>
            <w:tabs>
              <w:tab w:val="clear" w:pos="720"/>
              <w:tab w:val="left" w:pos="900" w:leader="none"/>
              <w:tab w:val="right" w:pos="9350" w:leader="dot"/>
            </w:tabs>
            <w:rPr>
              <w:lang w:val="en-CA"/>
            </w:rPr>
          </w:pPr>
          <w:r>
            <w:rPr>
              <w:b/>
              <w:lang w:val="en-CA"/>
            </w:rPr>
            <w:t>10.4</w:t>
          </w:r>
          <w:r>
            <w:rPr>
              <w:lang w:val="en-CA"/>
            </w:rPr>
            <w:tab/>
          </w:r>
          <w:r>
            <w:rPr>
              <w:b/>
              <w:color w:val="0000FF"/>
              <w:lang w:val="en-CA"/>
            </w:rPr>
            <w:t>Undertaking with respect to Conditions Precedent</w:t>
          </w:r>
          <w:r>
            <w:rPr>
              <w:lang w:val="en-CA"/>
            </w:rPr>
            <w:t>..</w:t>
            <w:tab/>
          </w:r>
          <w:hyperlink w:anchor="__RefHeading___Toc480081501">
            <w:r>
              <w:rPr>
                <w:rStyle w:val="IndexLink"/>
                <w:lang w:val="en-CA"/>
              </w:rPr>
              <w:t>29</w:t>
            </w:r>
          </w:hyperlink>
        </w:p>
        <w:p>
          <w:pPr>
            <w:pStyle w:val="TOC1"/>
            <w:tabs>
              <w:tab w:val="clear" w:pos="720"/>
              <w:tab w:val="right" w:pos="9350" w:leader="dot"/>
            </w:tabs>
            <w:rPr>
              <w:lang w:val="en-CA"/>
            </w:rPr>
          </w:pPr>
          <w:r>
            <w:rPr>
              <w:lang w:val="en-CA"/>
            </w:rPr>
            <w:t>Article 11</w:t>
          </w:r>
          <w:r>
            <w:rPr>
              <w:color w:val="0000FF"/>
              <w:lang w:val="en-CA"/>
            </w:rPr>
            <w:t xml:space="preserve"> FORCE MAJEURE</w:t>
          </w:r>
          <w:r>
            <w:rPr>
              <w:lang w:val="en-CA"/>
            </w:rPr>
            <w:tab/>
          </w:r>
          <w:hyperlink w:anchor="__RefHeading___Toc480081502">
            <w:r>
              <w:rPr>
                <w:rStyle w:val="IndexLink"/>
                <w:lang w:val="en-CA"/>
              </w:rPr>
              <w:t>29</w:t>
            </w:r>
          </w:hyperlink>
        </w:p>
        <w:p>
          <w:pPr>
            <w:pStyle w:val="TOC2"/>
            <w:tabs>
              <w:tab w:val="clear" w:pos="720"/>
              <w:tab w:val="left" w:pos="900" w:leader="none"/>
              <w:tab w:val="right" w:pos="9350" w:leader="dot"/>
            </w:tabs>
            <w:rPr>
              <w:lang w:val="en-CA"/>
            </w:rPr>
          </w:pPr>
          <w:r>
            <w:rPr>
              <w:b/>
              <w:lang w:val="en-CA"/>
            </w:rPr>
            <w:t>11.1</w:t>
          </w:r>
          <w:r>
            <w:rPr>
              <w:lang w:val="en-CA"/>
            </w:rPr>
            <w:tab/>
          </w:r>
          <w:r>
            <w:rPr>
              <w:b/>
              <w:color w:val="0000FF"/>
              <w:lang w:val="en-CA"/>
            </w:rPr>
            <w:t>Force Majeure</w:t>
          </w:r>
          <w:r>
            <w:rPr>
              <w:lang w:val="en-CA"/>
            </w:rPr>
            <w:t>.</w:t>
            <w:tab/>
          </w:r>
          <w:hyperlink w:anchor="__RefHeading___Toc480081504">
            <w:r>
              <w:rPr>
                <w:rStyle w:val="IndexLink"/>
                <w:lang w:val="en-CA"/>
              </w:rPr>
              <w:t>29</w:t>
            </w:r>
          </w:hyperlink>
        </w:p>
        <w:p>
          <w:pPr>
            <w:pStyle w:val="TOC2"/>
            <w:tabs>
              <w:tab w:val="clear" w:pos="720"/>
              <w:tab w:val="left" w:pos="900" w:leader="none"/>
              <w:tab w:val="left" w:pos="960" w:leader="none"/>
              <w:tab w:val="right" w:pos="9350" w:leader="dot"/>
            </w:tabs>
            <w:rPr>
              <w:lang w:val="en-CA"/>
            </w:rPr>
          </w:pPr>
          <w:r>
            <w:rPr>
              <w:b/>
              <w:lang w:val="en-CA"/>
            </w:rPr>
            <w:t>11.2</w:t>
          </w:r>
          <w:r>
            <w:rPr>
              <w:lang w:val="en-CA"/>
            </w:rPr>
            <w:tab/>
          </w:r>
          <w:r>
            <w:rPr>
              <w:b/>
              <w:color w:val="0000FF"/>
              <w:lang w:val="en-CA"/>
            </w:rPr>
            <w:t>Allocation of Force Majeure</w:t>
          </w:r>
          <w:r>
            <w:rPr>
              <w:lang w:val="en-CA"/>
            </w:rPr>
            <w:t>.</w:t>
            <w:tab/>
          </w:r>
          <w:hyperlink w:anchor="__RefHeading___Toc480081506">
            <w:r>
              <w:rPr>
                <w:rStyle w:val="IndexLink"/>
                <w:lang w:val="en-CA"/>
              </w:rPr>
              <w:t>29</w:t>
            </w:r>
          </w:hyperlink>
        </w:p>
        <w:p>
          <w:pPr>
            <w:pStyle w:val="TOC2"/>
            <w:tabs>
              <w:tab w:val="clear" w:pos="720"/>
              <w:tab w:val="left" w:pos="900" w:leader="none"/>
              <w:tab w:val="left" w:pos="960" w:leader="none"/>
              <w:tab w:val="right" w:pos="9350" w:leader="dot"/>
            </w:tabs>
            <w:rPr>
              <w:lang w:val="en-CA"/>
            </w:rPr>
          </w:pPr>
          <w:r>
            <w:rPr>
              <w:b/>
              <w:lang w:val="en-CA"/>
            </w:rPr>
            <w:t>11.3</w:t>
          </w:r>
          <w:r>
            <w:rPr>
              <w:lang w:val="en-CA"/>
            </w:rPr>
            <w:tab/>
          </w:r>
          <w:r>
            <w:rPr>
              <w:b/>
              <w:color w:val="0000FF"/>
              <w:lang w:val="en-CA"/>
            </w:rPr>
            <w:t>Curtailment</w:t>
          </w:r>
          <w:r>
            <w:rPr>
              <w:lang w:val="en-CA"/>
            </w:rPr>
            <w:t>..</w:t>
            <w:tab/>
          </w:r>
          <w:hyperlink w:anchor="__RefHeading___Toc480081509">
            <w:r>
              <w:rPr>
                <w:rStyle w:val="IndexLink"/>
                <w:lang w:val="en-CA"/>
              </w:rPr>
              <w:t>30</w:t>
            </w:r>
          </w:hyperlink>
        </w:p>
        <w:p>
          <w:pPr>
            <w:pStyle w:val="TOC2"/>
            <w:tabs>
              <w:tab w:val="clear" w:pos="720"/>
              <w:tab w:val="left" w:pos="900" w:leader="none"/>
              <w:tab w:val="left" w:pos="960" w:leader="none"/>
              <w:tab w:val="right" w:pos="9350" w:leader="dot"/>
            </w:tabs>
            <w:rPr>
              <w:lang w:val="en-CA"/>
            </w:rPr>
          </w:pPr>
          <w:r>
            <w:rPr>
              <w:b/>
              <w:lang w:val="en-CA"/>
            </w:rPr>
            <w:t>11.4</w:t>
          </w:r>
          <w:r>
            <w:rPr>
              <w:lang w:val="en-CA"/>
            </w:rPr>
            <w:tab/>
          </w:r>
          <w:r>
            <w:rPr>
              <w:b/>
              <w:color w:val="0000FF"/>
              <w:lang w:val="en-CA"/>
            </w:rPr>
            <w:t>Alternate Sales/Purchases</w:t>
          </w:r>
          <w:r>
            <w:rPr>
              <w:lang w:val="en-CA"/>
            </w:rPr>
            <w:t>..</w:t>
            <w:tab/>
          </w:r>
          <w:hyperlink w:anchor="__RefHeading___Toc480081510">
            <w:r>
              <w:rPr>
                <w:rStyle w:val="IndexLink"/>
                <w:lang w:val="en-CA"/>
              </w:rPr>
              <w:t>30</w:t>
            </w:r>
          </w:hyperlink>
        </w:p>
        <w:p>
          <w:pPr>
            <w:pStyle w:val="TOC2"/>
            <w:tabs>
              <w:tab w:val="clear" w:pos="720"/>
              <w:tab w:val="left" w:pos="900" w:leader="none"/>
              <w:tab w:val="left" w:pos="960" w:leader="none"/>
              <w:tab w:val="right" w:pos="9350" w:leader="dot"/>
            </w:tabs>
            <w:rPr>
              <w:lang w:val="en-CA"/>
            </w:rPr>
          </w:pPr>
          <w:r>
            <w:rPr>
              <w:b/>
              <w:lang w:val="en-CA"/>
            </w:rPr>
            <w:t>11.5</w:t>
          </w:r>
          <w:r>
            <w:rPr>
              <w:lang w:val="en-CA"/>
            </w:rPr>
            <w:tab/>
          </w:r>
          <w:r>
            <w:rPr>
              <w:b/>
              <w:color w:val="0000FF"/>
              <w:lang w:val="en-CA"/>
            </w:rPr>
            <w:t>Information; Scheduled or Planned Maintenance or Outages</w:t>
          </w:r>
          <w:r>
            <w:rPr>
              <w:lang w:val="en-CA"/>
            </w:rPr>
            <w:t>..</w:t>
            <w:tab/>
          </w:r>
          <w:hyperlink w:anchor="__RefHeading___Toc480081511">
            <w:r>
              <w:rPr>
                <w:rStyle w:val="IndexLink"/>
                <w:lang w:val="en-CA"/>
              </w:rPr>
              <w:t>30</w:t>
            </w:r>
          </w:hyperlink>
        </w:p>
        <w:p>
          <w:pPr>
            <w:pStyle w:val="TOC2"/>
            <w:tabs>
              <w:tab w:val="clear" w:pos="720"/>
              <w:tab w:val="left" w:pos="900" w:leader="none"/>
              <w:tab w:val="left" w:pos="960" w:leader="none"/>
              <w:tab w:val="right" w:pos="9350" w:leader="dot"/>
            </w:tabs>
            <w:rPr>
              <w:lang w:val="en-CA"/>
            </w:rPr>
          </w:pPr>
          <w:r>
            <w:rPr>
              <w:b/>
              <w:lang w:val="en-CA"/>
            </w:rPr>
            <w:t>11.6</w:t>
          </w:r>
          <w:r>
            <w:rPr>
              <w:lang w:val="en-CA"/>
            </w:rPr>
            <w:tab/>
          </w:r>
          <w:r>
            <w:rPr>
              <w:b/>
              <w:color w:val="0000FF"/>
              <w:lang w:val="en-CA"/>
            </w:rPr>
            <w:t>No Extension of Term</w:t>
          </w:r>
          <w:r>
            <w:rPr>
              <w:lang w:val="en-CA"/>
            </w:rPr>
            <w:t>..</w:t>
            <w:tab/>
          </w:r>
          <w:hyperlink w:anchor="__RefHeading___Toc480081512">
            <w:r>
              <w:rPr>
                <w:rStyle w:val="IndexLink"/>
                <w:lang w:val="en-CA"/>
              </w:rPr>
              <w:t>31</w:t>
            </w:r>
          </w:hyperlink>
        </w:p>
        <w:p>
          <w:pPr>
            <w:pStyle w:val="TOC1"/>
            <w:tabs>
              <w:tab w:val="clear" w:pos="720"/>
              <w:tab w:val="right" w:pos="9350" w:leader="dot"/>
            </w:tabs>
            <w:rPr>
              <w:lang w:val="en-CA"/>
            </w:rPr>
          </w:pPr>
          <w:r>
            <w:rPr>
              <w:lang w:val="en-CA"/>
            </w:rPr>
            <w:t>Article 12</w:t>
          </w:r>
          <w:r>
            <w:rPr>
              <w:color w:val="0000FF"/>
              <w:lang w:val="en-CA"/>
            </w:rPr>
            <w:t xml:space="preserve"> ASSIGNMENT AND SUCCESSION</w:t>
          </w:r>
          <w:r>
            <w:rPr>
              <w:lang w:val="en-CA"/>
            </w:rPr>
            <w:tab/>
          </w:r>
          <w:hyperlink w:anchor="__RefHeading___Toc480081513">
            <w:r>
              <w:rPr>
                <w:rStyle w:val="IndexLink"/>
                <w:lang w:val="en-CA"/>
              </w:rPr>
              <w:t>31</w:t>
            </w:r>
          </w:hyperlink>
        </w:p>
        <w:p>
          <w:pPr>
            <w:pStyle w:val="TOC2"/>
            <w:tabs>
              <w:tab w:val="clear" w:pos="720"/>
              <w:tab w:val="left" w:pos="900" w:leader="none"/>
              <w:tab w:val="right" w:pos="9350" w:leader="dot"/>
            </w:tabs>
            <w:rPr>
              <w:lang w:val="en-CA"/>
            </w:rPr>
          </w:pPr>
          <w:r>
            <w:rPr>
              <w:b/>
              <w:lang w:val="en-CA"/>
            </w:rPr>
            <w:t>12.1</w:t>
          </w:r>
          <w:r>
            <w:rPr>
              <w:lang w:val="en-CA"/>
            </w:rPr>
            <w:tab/>
          </w:r>
          <w:r>
            <w:rPr>
              <w:b/>
              <w:color w:val="0000FF"/>
              <w:lang w:val="en-CA"/>
            </w:rPr>
            <w:t>Assignment and Succession</w:t>
          </w:r>
          <w:r>
            <w:rPr>
              <w:lang w:val="en-CA"/>
            </w:rPr>
            <w:t>..</w:t>
            <w:tab/>
          </w:r>
          <w:hyperlink w:anchor="__RefHeading___Toc480081514">
            <w:r>
              <w:rPr>
                <w:rStyle w:val="IndexLink"/>
                <w:lang w:val="en-CA"/>
              </w:rPr>
              <w:t>31</w:t>
            </w:r>
          </w:hyperlink>
        </w:p>
        <w:p>
          <w:pPr>
            <w:pStyle w:val="TOC2"/>
            <w:tabs>
              <w:tab w:val="clear" w:pos="720"/>
              <w:tab w:val="left" w:pos="900" w:leader="none"/>
              <w:tab w:val="right" w:pos="9350" w:leader="dot"/>
            </w:tabs>
            <w:rPr>
              <w:lang w:val="en-CA"/>
            </w:rPr>
          </w:pPr>
          <w:r>
            <w:rPr>
              <w:b/>
              <w:lang w:val="en-CA"/>
            </w:rPr>
            <w:t>12.2</w:t>
          </w:r>
          <w:r>
            <w:rPr>
              <w:lang w:val="en-CA"/>
            </w:rPr>
            <w:tab/>
          </w:r>
          <w:r>
            <w:rPr>
              <w:b/>
              <w:color w:val="0000FF"/>
              <w:lang w:val="en-CA"/>
            </w:rPr>
            <w:t>Effect of Assignment</w:t>
          </w:r>
          <w:r>
            <w:rPr>
              <w:lang w:val="en-CA"/>
            </w:rPr>
            <w:t>..</w:t>
            <w:tab/>
          </w:r>
          <w:hyperlink w:anchor="__RefHeading___Toc480081515">
            <w:r>
              <w:rPr>
                <w:rStyle w:val="IndexLink"/>
                <w:lang w:val="en-CA"/>
              </w:rPr>
              <w:t>31</w:t>
            </w:r>
          </w:hyperlink>
        </w:p>
        <w:p>
          <w:pPr>
            <w:pStyle w:val="TOC2"/>
            <w:tabs>
              <w:tab w:val="clear" w:pos="720"/>
              <w:tab w:val="left" w:pos="900" w:leader="none"/>
              <w:tab w:val="right" w:pos="9350" w:leader="dot"/>
            </w:tabs>
            <w:rPr>
              <w:lang w:val="en-CA"/>
            </w:rPr>
          </w:pPr>
          <w:r>
            <w:rPr>
              <w:b/>
              <w:lang w:val="en-CA"/>
            </w:rPr>
            <w:t>12.3</w:t>
          </w:r>
          <w:r>
            <w:rPr>
              <w:lang w:val="en-CA"/>
            </w:rPr>
            <w:tab/>
          </w:r>
          <w:r>
            <w:rPr>
              <w:b/>
              <w:color w:val="0000FF"/>
              <w:lang w:val="en-CA"/>
            </w:rPr>
            <w:t>Further Assurances</w:t>
          </w:r>
          <w:r>
            <w:rPr>
              <w:lang w:val="en-CA"/>
            </w:rPr>
            <w:t>..</w:t>
            <w:tab/>
          </w:r>
          <w:hyperlink w:anchor="__RefHeading___Toc480081516">
            <w:r>
              <w:rPr>
                <w:rStyle w:val="IndexLink"/>
                <w:lang w:val="en-CA"/>
              </w:rPr>
              <w:t>31</w:t>
            </w:r>
          </w:hyperlink>
        </w:p>
        <w:p>
          <w:pPr>
            <w:pStyle w:val="TOC1"/>
            <w:tabs>
              <w:tab w:val="clear" w:pos="720"/>
              <w:tab w:val="right" w:pos="9350" w:leader="dot"/>
            </w:tabs>
            <w:rPr>
              <w:lang w:val="en-CA"/>
            </w:rPr>
          </w:pPr>
          <w:r>
            <w:rPr>
              <w:lang w:val="en-CA"/>
            </w:rPr>
            <w:t>Article 13</w:t>
          </w:r>
          <w:r>
            <w:rPr>
              <w:color w:val="0000FF"/>
              <w:lang w:val="en-CA"/>
            </w:rPr>
            <w:t xml:space="preserve"> MISCELLANEOUS</w:t>
          </w:r>
          <w:r>
            <w:rPr>
              <w:lang w:val="en-CA"/>
            </w:rPr>
            <w:tab/>
          </w:r>
          <w:hyperlink w:anchor="__RefHeading___Toc480081517">
            <w:r>
              <w:rPr>
                <w:rStyle w:val="IndexLink"/>
                <w:lang w:val="en-CA"/>
              </w:rPr>
              <w:t>32</w:t>
            </w:r>
          </w:hyperlink>
        </w:p>
        <w:p>
          <w:pPr>
            <w:pStyle w:val="TOC2"/>
            <w:tabs>
              <w:tab w:val="clear" w:pos="720"/>
              <w:tab w:val="left" w:pos="900" w:leader="none"/>
              <w:tab w:val="right" w:pos="9350" w:leader="dot"/>
            </w:tabs>
            <w:rPr>
              <w:lang w:val="en-CA"/>
            </w:rPr>
          </w:pPr>
          <w:r>
            <w:rPr>
              <w:b/>
              <w:lang w:val="en-CA"/>
            </w:rPr>
            <w:t>13.1</w:t>
          </w:r>
          <w:r>
            <w:rPr>
              <w:lang w:val="en-CA"/>
            </w:rPr>
            <w:tab/>
          </w:r>
          <w:r>
            <w:rPr>
              <w:b/>
              <w:color w:val="0000FF"/>
              <w:lang w:val="en-CA"/>
            </w:rPr>
            <w:t>Commencement Date</w:t>
          </w:r>
          <w:r>
            <w:rPr>
              <w:lang w:val="en-CA"/>
            </w:rPr>
            <w:t>..</w:t>
            <w:tab/>
          </w:r>
          <w:hyperlink w:anchor="__RefHeading___Toc480081518">
            <w:r>
              <w:rPr>
                <w:rStyle w:val="IndexLink"/>
                <w:lang w:val="en-CA"/>
              </w:rPr>
              <w:t>32</w:t>
            </w:r>
          </w:hyperlink>
        </w:p>
        <w:p>
          <w:pPr>
            <w:pStyle w:val="TOC2"/>
            <w:tabs>
              <w:tab w:val="clear" w:pos="720"/>
              <w:tab w:val="left" w:pos="900" w:leader="none"/>
              <w:tab w:val="right" w:pos="9350" w:leader="dot"/>
            </w:tabs>
            <w:rPr>
              <w:lang w:val="en-CA"/>
            </w:rPr>
          </w:pPr>
          <w:r>
            <w:rPr>
              <w:b/>
              <w:lang w:val="en-CA"/>
            </w:rPr>
            <w:t>13.2</w:t>
          </w:r>
          <w:r>
            <w:rPr>
              <w:lang w:val="en-CA"/>
            </w:rPr>
            <w:tab/>
          </w:r>
          <w:r>
            <w:rPr>
              <w:b/>
              <w:color w:val="0000FF"/>
              <w:lang w:val="en-CA"/>
            </w:rPr>
            <w:t>Financial Information</w:t>
          </w:r>
          <w:r>
            <w:rPr>
              <w:lang w:val="en-CA"/>
            </w:rPr>
            <w:t>..</w:t>
            <w:tab/>
          </w:r>
          <w:hyperlink w:anchor="__RefHeading___Toc480081519">
            <w:r>
              <w:rPr>
                <w:rStyle w:val="IndexLink"/>
                <w:lang w:val="en-CA"/>
              </w:rPr>
              <w:t>32</w:t>
            </w:r>
          </w:hyperlink>
        </w:p>
        <w:p>
          <w:pPr>
            <w:pStyle w:val="TOC2"/>
            <w:tabs>
              <w:tab w:val="clear" w:pos="720"/>
              <w:tab w:val="left" w:pos="900" w:leader="none"/>
              <w:tab w:val="right" w:pos="9350" w:leader="dot"/>
            </w:tabs>
            <w:rPr>
              <w:lang w:val="en-CA"/>
            </w:rPr>
          </w:pPr>
          <w:r>
            <w:rPr>
              <w:b/>
              <w:lang w:val="en-CA"/>
            </w:rPr>
            <w:t>13.3</w:t>
          </w:r>
          <w:r>
            <w:rPr>
              <w:lang w:val="en-CA"/>
            </w:rPr>
            <w:tab/>
          </w:r>
          <w:r>
            <w:rPr>
              <w:b/>
              <w:color w:val="0000FF"/>
              <w:lang w:val="en-CA"/>
            </w:rPr>
            <w:t>Disputes; Governing Law</w:t>
          </w:r>
          <w:r>
            <w:rPr>
              <w:lang w:val="en-CA"/>
            </w:rPr>
            <w:t>..</w:t>
            <w:tab/>
          </w:r>
          <w:hyperlink w:anchor="__RefHeading___Toc480081520">
            <w:r>
              <w:rPr>
                <w:rStyle w:val="IndexLink"/>
                <w:lang w:val="en-CA"/>
              </w:rPr>
              <w:t>32</w:t>
            </w:r>
          </w:hyperlink>
        </w:p>
        <w:p>
          <w:pPr>
            <w:pStyle w:val="TOC2"/>
            <w:tabs>
              <w:tab w:val="clear" w:pos="720"/>
              <w:tab w:val="left" w:pos="900" w:leader="none"/>
              <w:tab w:val="right" w:pos="9350" w:leader="dot"/>
            </w:tabs>
            <w:rPr>
              <w:lang w:val="en-CA"/>
            </w:rPr>
          </w:pPr>
          <w:r>
            <w:rPr>
              <w:b/>
              <w:lang w:val="en-CA"/>
            </w:rPr>
            <w:t>13.4</w:t>
          </w:r>
          <w:r>
            <w:rPr>
              <w:lang w:val="en-CA"/>
            </w:rPr>
            <w:tab/>
          </w:r>
          <w:r>
            <w:rPr>
              <w:b/>
              <w:color w:val="0000FF"/>
              <w:lang w:val="en-CA"/>
            </w:rPr>
            <w:t>Regulatory Approvals</w:t>
          </w:r>
          <w:r>
            <w:rPr>
              <w:lang w:val="en-CA"/>
            </w:rPr>
            <w:t>.</w:t>
            <w:tab/>
          </w:r>
          <w:hyperlink w:anchor="__RefHeading___Toc480081521">
            <w:r>
              <w:rPr>
                <w:rStyle w:val="IndexLink"/>
                <w:lang w:val="en-CA"/>
              </w:rPr>
              <w:t>32</w:t>
            </w:r>
          </w:hyperlink>
        </w:p>
        <w:p>
          <w:pPr>
            <w:pStyle w:val="TOC2"/>
            <w:tabs>
              <w:tab w:val="clear" w:pos="720"/>
              <w:tab w:val="left" w:pos="900" w:leader="none"/>
              <w:tab w:val="right" w:pos="9350" w:leader="dot"/>
            </w:tabs>
            <w:rPr>
              <w:lang w:val="en-CA"/>
            </w:rPr>
          </w:pPr>
          <w:r>
            <w:rPr>
              <w:b/>
              <w:lang w:val="en-CA"/>
            </w:rPr>
            <w:t>13.5</w:t>
          </w:r>
          <w:r>
            <w:rPr>
              <w:lang w:val="en-CA"/>
            </w:rPr>
            <w:tab/>
          </w:r>
          <w:r>
            <w:rPr>
              <w:b/>
              <w:color w:val="0000FF"/>
              <w:lang w:val="en-CA"/>
            </w:rPr>
            <w:t>Notices</w:t>
          </w:r>
          <w:r>
            <w:rPr>
              <w:lang w:val="en-CA"/>
            </w:rPr>
            <w:t>..</w:t>
            <w:tab/>
          </w:r>
          <w:hyperlink w:anchor="__RefHeading___Toc480081522">
            <w:r>
              <w:rPr>
                <w:rStyle w:val="IndexLink"/>
                <w:lang w:val="en-CA"/>
              </w:rPr>
              <w:t>32</w:t>
            </w:r>
          </w:hyperlink>
        </w:p>
        <w:p>
          <w:pPr>
            <w:pStyle w:val="TOC2"/>
            <w:tabs>
              <w:tab w:val="clear" w:pos="720"/>
              <w:tab w:val="left" w:pos="900" w:leader="none"/>
              <w:tab w:val="right" w:pos="9350" w:leader="dot"/>
            </w:tabs>
            <w:rPr>
              <w:lang w:val="en-CA"/>
            </w:rPr>
          </w:pPr>
          <w:r>
            <w:rPr>
              <w:b/>
              <w:lang w:val="en-CA"/>
            </w:rPr>
            <w:t>13.6</w:t>
          </w:r>
          <w:r>
            <w:rPr>
              <w:lang w:val="en-CA"/>
            </w:rPr>
            <w:tab/>
          </w:r>
          <w:r>
            <w:rPr>
              <w:b/>
              <w:color w:val="0000FF"/>
              <w:lang w:val="en-CA"/>
            </w:rPr>
            <w:t>Entirety</w:t>
          </w:r>
          <w:r>
            <w:rPr>
              <w:lang w:val="en-CA"/>
            </w:rPr>
            <w:t>.</w:t>
            <w:tab/>
          </w:r>
          <w:hyperlink w:anchor="__RefHeading___Toc480081523">
            <w:r>
              <w:rPr>
                <w:rStyle w:val="IndexLink"/>
                <w:lang w:val="en-CA"/>
              </w:rPr>
              <w:t>33</w:t>
            </w:r>
          </w:hyperlink>
        </w:p>
        <w:p>
          <w:pPr>
            <w:pStyle w:val="TOC2"/>
            <w:tabs>
              <w:tab w:val="clear" w:pos="720"/>
              <w:tab w:val="left" w:pos="900" w:leader="none"/>
              <w:tab w:val="right" w:pos="9350" w:leader="dot"/>
            </w:tabs>
            <w:rPr>
              <w:lang w:val="en-CA"/>
            </w:rPr>
          </w:pPr>
          <w:r>
            <w:rPr>
              <w:b/>
              <w:lang w:val="en-CA"/>
            </w:rPr>
            <w:t>13.7</w:t>
          </w:r>
          <w:r>
            <w:rPr>
              <w:lang w:val="en-CA"/>
            </w:rPr>
            <w:tab/>
          </w:r>
          <w:r>
            <w:rPr>
              <w:b/>
              <w:color w:val="0000FF"/>
              <w:lang w:val="en-CA"/>
            </w:rPr>
            <w:t>Amendments</w:t>
          </w:r>
          <w:r>
            <w:rPr>
              <w:lang w:val="en-CA"/>
            </w:rPr>
            <w:t>..</w:t>
            <w:tab/>
          </w:r>
          <w:hyperlink w:anchor="__RefHeading___Toc480081524">
            <w:r>
              <w:rPr>
                <w:rStyle w:val="IndexLink"/>
                <w:lang w:val="en-CA"/>
              </w:rPr>
              <w:t>33</w:t>
            </w:r>
          </w:hyperlink>
        </w:p>
        <w:p>
          <w:pPr>
            <w:pStyle w:val="TOC2"/>
            <w:tabs>
              <w:tab w:val="clear" w:pos="720"/>
              <w:tab w:val="left" w:pos="900" w:leader="none"/>
              <w:tab w:val="right" w:pos="9350" w:leader="dot"/>
            </w:tabs>
            <w:rPr>
              <w:lang w:val="en-CA"/>
            </w:rPr>
          </w:pPr>
          <w:r>
            <w:rPr>
              <w:b/>
              <w:lang w:val="en-CA"/>
            </w:rPr>
            <w:t>13.8</w:t>
          </w:r>
          <w:r>
            <w:rPr>
              <w:lang w:val="en-CA"/>
            </w:rPr>
            <w:tab/>
          </w:r>
          <w:r>
            <w:rPr>
              <w:b/>
              <w:color w:val="0000FF"/>
              <w:lang w:val="en-CA"/>
            </w:rPr>
            <w:t>Non-Waiver</w:t>
          </w:r>
          <w:r>
            <w:rPr>
              <w:lang w:val="en-CA"/>
            </w:rPr>
            <w:t>..</w:t>
            <w:tab/>
          </w:r>
          <w:hyperlink w:anchor="__RefHeading___Toc480081525">
            <w:r>
              <w:rPr>
                <w:rStyle w:val="IndexLink"/>
                <w:lang w:val="en-CA"/>
              </w:rPr>
              <w:t>33</w:t>
            </w:r>
          </w:hyperlink>
        </w:p>
        <w:p>
          <w:pPr>
            <w:pStyle w:val="TOC2"/>
            <w:tabs>
              <w:tab w:val="clear" w:pos="720"/>
              <w:tab w:val="left" w:pos="900" w:leader="none"/>
              <w:tab w:val="right" w:pos="9350" w:leader="dot"/>
            </w:tabs>
            <w:rPr>
              <w:lang w:val="en-CA"/>
            </w:rPr>
          </w:pPr>
          <w:r>
            <w:rPr>
              <w:b/>
              <w:lang w:val="en-CA"/>
            </w:rPr>
            <w:t>13.9</w:t>
          </w:r>
          <w:r>
            <w:rPr>
              <w:lang w:val="en-CA"/>
            </w:rPr>
            <w:tab/>
          </w:r>
          <w:r>
            <w:rPr>
              <w:b/>
              <w:color w:val="0000FF"/>
              <w:lang w:val="en-CA"/>
            </w:rPr>
            <w:t>Severability</w:t>
          </w:r>
          <w:r>
            <w:rPr>
              <w:lang w:val="en-CA"/>
            </w:rPr>
            <w:t>..</w:t>
            <w:tab/>
          </w:r>
          <w:hyperlink w:anchor="__RefHeading___Toc480081526">
            <w:r>
              <w:rPr>
                <w:rStyle w:val="IndexLink"/>
                <w:lang w:val="en-CA"/>
              </w:rPr>
              <w:t>33</w:t>
            </w:r>
          </w:hyperlink>
        </w:p>
        <w:p>
          <w:pPr>
            <w:pStyle w:val="TOC2"/>
            <w:tabs>
              <w:tab w:val="clear" w:pos="720"/>
              <w:tab w:val="left" w:pos="900" w:leader="none"/>
              <w:tab w:val="right" w:pos="9350" w:leader="dot"/>
            </w:tabs>
            <w:rPr>
              <w:lang w:val="en-CA"/>
            </w:rPr>
          </w:pPr>
          <w:r>
            <w:rPr>
              <w:b/>
              <w:lang w:val="en-CA"/>
            </w:rPr>
            <w:t>13.10</w:t>
          </w:r>
          <w:r>
            <w:rPr>
              <w:lang w:val="en-CA"/>
            </w:rPr>
            <w:tab/>
          </w:r>
          <w:r>
            <w:rPr>
              <w:b/>
              <w:color w:val="0000FF"/>
              <w:lang w:val="en-CA"/>
            </w:rPr>
            <w:t>Confidentiality</w:t>
          </w:r>
          <w:r>
            <w:rPr>
              <w:lang w:val="en-CA"/>
            </w:rPr>
            <w:t>.</w:t>
            <w:tab/>
          </w:r>
          <w:hyperlink w:anchor="__RefHeading___Toc480081527">
            <w:r>
              <w:rPr>
                <w:rStyle w:val="IndexLink"/>
                <w:lang w:val="en-CA"/>
              </w:rPr>
              <w:t>34</w:t>
            </w:r>
          </w:hyperlink>
        </w:p>
        <w:p>
          <w:pPr>
            <w:pStyle w:val="TOC2"/>
            <w:tabs>
              <w:tab w:val="clear" w:pos="720"/>
              <w:tab w:val="left" w:pos="900" w:leader="none"/>
              <w:tab w:val="right" w:pos="9350" w:leader="dot"/>
            </w:tabs>
            <w:rPr>
              <w:lang w:val="en-CA"/>
            </w:rPr>
          </w:pPr>
          <w:r>
            <w:rPr>
              <w:b/>
              <w:lang w:val="en-CA"/>
            </w:rPr>
            <w:t>13.11</w:t>
          </w:r>
          <w:r>
            <w:rPr>
              <w:lang w:val="en-CA"/>
            </w:rPr>
            <w:tab/>
          </w:r>
          <w:r>
            <w:rPr>
              <w:b/>
              <w:color w:val="0000FF"/>
              <w:lang w:val="en-CA"/>
            </w:rPr>
            <w:t>No Third Party Beneficiaries</w:t>
          </w:r>
          <w:r>
            <w:rPr>
              <w:lang w:val="en-CA"/>
            </w:rPr>
            <w:t>..</w:t>
            <w:tab/>
          </w:r>
          <w:hyperlink w:anchor="__RefHeading___Toc480081528">
            <w:r>
              <w:rPr>
                <w:rStyle w:val="IndexLink"/>
                <w:lang w:val="en-CA"/>
              </w:rPr>
              <w:t>34</w:t>
            </w:r>
          </w:hyperlink>
        </w:p>
        <w:p>
          <w:pPr>
            <w:pStyle w:val="TOC2"/>
            <w:tabs>
              <w:tab w:val="clear" w:pos="720"/>
              <w:tab w:val="left" w:pos="900" w:leader="none"/>
              <w:tab w:val="right" w:pos="9350" w:leader="dot"/>
            </w:tabs>
            <w:rPr>
              <w:lang w:val="en-CA"/>
            </w:rPr>
          </w:pPr>
          <w:r>
            <w:rPr>
              <w:b/>
              <w:lang w:val="en-CA"/>
            </w:rPr>
            <w:t>13.12</w:t>
          </w:r>
          <w:r>
            <w:rPr>
              <w:lang w:val="en-CA"/>
            </w:rPr>
            <w:tab/>
          </w:r>
          <w:r>
            <w:rPr>
              <w:b/>
              <w:color w:val="0000FF"/>
              <w:lang w:val="en-CA"/>
            </w:rPr>
            <w:t>Parties not Partners</w:t>
          </w:r>
          <w:r>
            <w:rPr>
              <w:lang w:val="en-CA"/>
            </w:rPr>
            <w:t>..</w:t>
            <w:tab/>
          </w:r>
          <w:hyperlink w:anchor="__RefHeading___Toc480081529">
            <w:r>
              <w:rPr>
                <w:rStyle w:val="IndexLink"/>
                <w:lang w:val="en-CA"/>
              </w:rPr>
              <w:t>34</w:t>
            </w:r>
          </w:hyperlink>
        </w:p>
        <w:p>
          <w:pPr>
            <w:pStyle w:val="TOC2"/>
            <w:tabs>
              <w:tab w:val="clear" w:pos="720"/>
              <w:tab w:val="left" w:pos="900" w:leader="none"/>
              <w:tab w:val="right" w:pos="9350" w:leader="dot"/>
            </w:tabs>
            <w:rPr>
              <w:lang w:val="en-CA"/>
            </w:rPr>
          </w:pPr>
          <w:r>
            <w:rPr>
              <w:b/>
              <w:lang w:val="en-CA"/>
            </w:rPr>
            <w:t>13.13</w:t>
          </w:r>
          <w:r>
            <w:rPr>
              <w:lang w:val="en-CA"/>
            </w:rPr>
            <w:tab/>
          </w:r>
          <w:r>
            <w:rPr>
              <w:b/>
              <w:color w:val="0000FF"/>
              <w:lang w:val="en-CA"/>
            </w:rPr>
            <w:t>Eligible Financial Contract</w:t>
          </w:r>
          <w:r>
            <w:rPr>
              <w:lang w:val="en-CA"/>
            </w:rPr>
            <w:t>..</w:t>
            <w:tab/>
          </w:r>
          <w:hyperlink w:anchor="__RefHeading___Toc480081530">
            <w:r>
              <w:rPr>
                <w:rStyle w:val="IndexLink"/>
                <w:lang w:val="en-CA"/>
              </w:rPr>
              <w:t>34</w:t>
            </w:r>
          </w:hyperlink>
        </w:p>
        <w:p>
          <w:pPr>
            <w:pStyle w:val="TOC2"/>
            <w:tabs>
              <w:tab w:val="clear" w:pos="720"/>
              <w:tab w:val="left" w:pos="900" w:leader="none"/>
              <w:tab w:val="right" w:pos="9350" w:leader="dot"/>
            </w:tabs>
            <w:rPr>
              <w:lang w:val="en-CA"/>
            </w:rPr>
          </w:pPr>
          <w:r>
            <w:rPr>
              <w:b/>
              <w:lang w:val="en-CA"/>
            </w:rPr>
            <w:t>13.14</w:t>
          </w:r>
          <w:r>
            <w:rPr>
              <w:lang w:val="en-CA"/>
            </w:rPr>
            <w:tab/>
          </w:r>
          <w:r>
            <w:rPr>
              <w:b/>
              <w:color w:val="0000FF"/>
              <w:lang w:val="en-CA"/>
            </w:rPr>
            <w:t>Further Assurances</w:t>
          </w:r>
          <w:r>
            <w:rPr>
              <w:lang w:val="en-CA"/>
            </w:rPr>
            <w:t>.</w:t>
            <w:tab/>
          </w:r>
          <w:hyperlink w:anchor="__RefHeading___Toc480081531">
            <w:r>
              <w:rPr>
                <w:rStyle w:val="IndexLink"/>
                <w:lang w:val="en-CA"/>
              </w:rPr>
              <w:t>34</w:t>
            </w:r>
          </w:hyperlink>
        </w:p>
        <w:p>
          <w:pPr>
            <w:pStyle w:val="TOC2"/>
            <w:tabs>
              <w:tab w:val="clear" w:pos="720"/>
              <w:tab w:val="left" w:pos="900" w:leader="none"/>
              <w:tab w:val="right" w:pos="9350" w:leader="dot"/>
            </w:tabs>
            <w:rPr>
              <w:lang w:val="en-CA"/>
            </w:rPr>
          </w:pPr>
          <w:r>
            <w:rPr>
              <w:b/>
              <w:lang w:val="en-CA"/>
            </w:rPr>
            <w:t>13.15</w:t>
          </w:r>
          <w:r>
            <w:rPr>
              <w:lang w:val="en-CA"/>
            </w:rPr>
            <w:tab/>
          </w:r>
          <w:r>
            <w:rPr>
              <w:b/>
              <w:color w:val="0000FF"/>
              <w:lang w:val="en-CA"/>
            </w:rPr>
            <w:t>Time of Essence</w:t>
          </w:r>
          <w:r>
            <w:rPr>
              <w:lang w:val="en-CA"/>
            </w:rPr>
            <w:t>.</w:t>
            <w:tab/>
          </w:r>
          <w:hyperlink w:anchor="__RefHeading___Toc480081532">
            <w:r>
              <w:rPr>
                <w:rStyle w:val="IndexLink"/>
                <w:lang w:val="en-CA"/>
              </w:rPr>
              <w:t>34</w:t>
            </w:r>
          </w:hyperlink>
        </w:p>
        <w:p>
          <w:pPr>
            <w:pStyle w:val="TOC2"/>
            <w:tabs>
              <w:tab w:val="clear" w:pos="720"/>
              <w:tab w:val="left" w:pos="900" w:leader="none"/>
              <w:tab w:val="right" w:pos="9350" w:leader="dot"/>
            </w:tabs>
            <w:rPr>
              <w:lang w:val="en-CA"/>
            </w:rPr>
          </w:pPr>
          <w:r>
            <w:rPr>
              <w:b/>
              <w:lang w:val="en-CA"/>
            </w:rPr>
            <w:t>13.16</w:t>
          </w:r>
          <w:r>
            <w:rPr>
              <w:lang w:val="en-CA"/>
            </w:rPr>
            <w:tab/>
          </w:r>
          <w:r>
            <w:rPr>
              <w:b/>
              <w:color w:val="0000FF"/>
              <w:lang w:val="en-CA"/>
            </w:rPr>
            <w:t>Counterparts</w:t>
          </w:r>
          <w:r>
            <w:rPr>
              <w:lang w:val="en-CA"/>
            </w:rPr>
            <w:t>..</w:t>
            <w:tab/>
          </w:r>
          <w:hyperlink w:anchor="__RefHeading___Toc480081533">
            <w:r>
              <w:rPr>
                <w:rStyle w:val="IndexLink"/>
                <w:lang w:val="en-CA"/>
              </w:rPr>
              <w:t>35</w:t>
            </w:r>
          </w:hyperlink>
        </w:p>
        <w:p>
          <w:pPr>
            <w:pStyle w:val="TOC2"/>
            <w:tabs>
              <w:tab w:val="clear" w:pos="720"/>
              <w:tab w:val="right" w:pos="9350" w:leader="dot"/>
            </w:tabs>
            <w:rPr>
              <w:lang w:val="en-CA"/>
            </w:rPr>
          </w:pPr>
          <w:r>
            <w:rPr>
              <w:lang w:val="en-CA"/>
            </w:rPr>
          </w:r>
          <w:r>
            <w:rPr>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1080" w:top="1440" w:footer="720" w:bottom="1440"/>
          <w:pgNumType w:start="1" w:fmt="decimal"/>
          <w:formProt w:val="false"/>
          <w:titlePg/>
          <w:textDirection w:val="lrTb"/>
          <w:docGrid w:type="default" w:linePitch="360" w:charSpace="0"/>
        </w:sectPr>
        <w:pStyle w:val="TOC1"/>
        <w:numPr>
          <w:ilvl w:val="0"/>
          <w:numId w:val="0"/>
        </w:numPr>
        <w:rPr>
          <w:b w:val="false"/>
          <w:lang w:val="en-CA"/>
        </w:rPr>
      </w:pPr>
      <w:r>
        <w:rPr>
          <w:b w:val="false"/>
          <w:lang w:val="en-CA"/>
        </w:rPr>
      </w:r>
    </w:p>
    <w:p>
      <w:pPr>
        <w:pStyle w:val="BodyText"/>
        <w:numPr>
          <w:ilvl w:val="0"/>
          <w:numId w:val="0"/>
        </w:numPr>
        <w:jc w:val="center"/>
        <w:outlineLvl w:val="0"/>
        <w:rPr>
          <w:b/>
          <w:sz w:val="32"/>
        </w:rPr>
      </w:pPr>
      <w:r>
        <w:rPr>
          <w:b/>
          <w:sz w:val="32"/>
        </w:rPr>
        <w:t>ELECTRICITY PURCHASE AGREEMENT</w:t>
      </w:r>
    </w:p>
    <w:p>
      <w:pPr>
        <w:pStyle w:val="BodyText"/>
        <w:numPr>
          <w:ilvl w:val="0"/>
          <w:numId w:val="0"/>
        </w:numPr>
        <w:jc w:val="center"/>
        <w:outlineLvl w:val="0"/>
        <w:rPr>
          <w:b/>
          <w:sz w:val="32"/>
        </w:rPr>
      </w:pPr>
      <w:r>
        <w:rPr>
          <w:b/>
          <w:sz w:val="32"/>
        </w:rPr>
      </w:r>
    </w:p>
    <w:p>
      <w:pPr>
        <w:pStyle w:val="BodyText"/>
        <w:rPr/>
      </w:pPr>
      <w:r>
        <w:rPr/>
        <w:tab/>
      </w:r>
      <w:r>
        <w:rPr>
          <w:b/>
        </w:rPr>
        <w:t>THIS ELECTRICITY PURCHASE AGREEMENT</w:t>
      </w:r>
      <w:r>
        <w:rPr/>
        <w:t xml:space="preserve"> is made and entered into this 10th day of April, 2000 by and between </w:t>
      </w:r>
      <w:r>
        <w:rPr>
          <w:b/>
        </w:rPr>
        <w:t>ENRON CANADA CORP.</w:t>
      </w:r>
      <w:r>
        <w:rPr/>
        <w:t xml:space="preserve">, a corporation incorporated under the laws of the Province of Alberta, as Buyer, and </w:t>
      </w:r>
      <w:r>
        <w:rPr>
          <w:b/>
        </w:rPr>
        <w:t>BRITISH ENERGY (CANADA) LTD.</w:t>
      </w:r>
      <w:r>
        <w:rPr/>
        <w:t>, a corporation incorporated under the laws of the Province of Ontario, as Seller.</w:t>
      </w:r>
    </w:p>
    <w:p>
      <w:pPr>
        <w:pStyle w:val="Normal"/>
        <w:spacing w:before="0" w:after="240"/>
        <w:rPr>
          <w:b/>
        </w:rPr>
      </w:pPr>
      <w:r>
        <w:rPr>
          <w:b/>
        </w:rPr>
        <w:t>PREAMBLE:</w:t>
      </w:r>
    </w:p>
    <w:p>
      <w:pPr>
        <w:pStyle w:val="BodyText"/>
        <w:numPr>
          <w:ilvl w:val="0"/>
          <w:numId w:val="0"/>
        </w:numPr>
        <w:ind w:firstLine="720" w:end="0"/>
        <w:outlineLvl w:val="0"/>
        <w:rPr/>
      </w:pPr>
      <w:r>
        <w:rPr/>
        <w:t xml:space="preserve">This Agreement contains the terms and conditions of the purchase and sale transaction pursuant to which Seller will sell, and Schedule and deliver, or cause to be Scheduled and delivered, to Buyer, and Buyer will purchase and receive, or cause to be received, from Seller, on a Firm basis, the Hourly Contract Quantity throughout the Term (the </w:t>
      </w:r>
      <w:r>
        <w:rPr>
          <w:b/>
        </w:rPr>
        <w:t>“Transaction”</w:t>
      </w:r>
      <w:r>
        <w:rPr/>
        <w:t>).</w:t>
      </w:r>
    </w:p>
    <w:p>
      <w:pPr>
        <w:pStyle w:val="BodyText"/>
        <w:numPr>
          <w:ilvl w:val="0"/>
          <w:numId w:val="0"/>
        </w:numPr>
        <w:outlineLvl w:val="0"/>
        <w:rPr>
          <w:b/>
        </w:rPr>
      </w:pPr>
      <w:r>
        <w:rPr>
          <w:b/>
        </w:rPr>
        <w:t>AGREEMENT:</w:t>
      </w:r>
    </w:p>
    <w:p>
      <w:pPr>
        <w:pStyle w:val="BodyText"/>
        <w:rPr/>
      </w:pPr>
      <w:r>
        <w:rPr/>
        <w:tab/>
        <w:t>In consideration of the mutual agreements, covenants and conditions herein contained and for other good and valuable consideration, the receipt and adequacy of which are acknowledged, the Parties agree as follows:</w:t>
      </w:r>
    </w:p>
    <w:p>
      <w:pPr>
        <w:pStyle w:val="Article8L1"/>
        <w:numPr>
          <w:ilvl w:val="0"/>
          <w:numId w:val="12"/>
        </w:numPr>
        <w:ind w:hanging="0" w:start="0"/>
        <w:rPr/>
      </w:pPr>
      <w:r>
        <w:rPr>
          <w:b/>
          <w:caps/>
          <w:color w:val="0000FF"/>
        </w:rPr>
        <w:br/>
      </w:r>
      <w:bookmarkStart w:id="2" w:name="__RefHeading___Toc480081426"/>
      <w:r>
        <w:rPr>
          <w:b/>
          <w:caps/>
          <w:color w:val="0000FF"/>
        </w:rPr>
        <w:t>DEFINITIONS AND INTERPRETATION</w:t>
      </w:r>
      <w:bookmarkEnd w:id="2"/>
    </w:p>
    <w:p>
      <w:pPr>
        <w:pStyle w:val="Article8L2"/>
        <w:numPr>
          <w:ilvl w:val="1"/>
          <w:numId w:val="12"/>
        </w:numPr>
        <w:ind w:hanging="0" w:start="0"/>
        <w:rPr/>
      </w:pPr>
      <w:bookmarkStart w:id="3" w:name="__RefHeading___Toc480081427"/>
      <w:bookmarkStart w:id="4" w:name="_Ref477755235"/>
      <w:bookmarkStart w:id="5" w:name="_Ref476628291"/>
      <w:bookmarkEnd w:id="3"/>
      <w:r>
        <w:rPr>
          <w:b/>
          <w:color w:val="0000FF"/>
        </w:rPr>
        <w:t>Definitions</w:t>
      </w:r>
      <w:r>
        <w:rPr/>
        <w:t>.  The following definitions shall apply to this Agreement:</w:t>
      </w:r>
      <w:bookmarkEnd w:id="4"/>
      <w:bookmarkEnd w:id="5"/>
    </w:p>
    <w:p>
      <w:pPr>
        <w:pStyle w:val="NumContinue"/>
        <w:rPr/>
      </w:pPr>
      <w:r>
        <w:rPr/>
        <w:t>“</w:t>
      </w:r>
      <w:r>
        <w:rPr>
          <w:b/>
        </w:rPr>
        <w:t>Acceptable Credit Support</w:t>
      </w:r>
      <w:r>
        <w:rPr/>
        <w:t>” means with respect to Buyer and Seller, including any successor or permitted assignee who is liable as Buyer or Seller under this Agreement, as the case may be, (a) a Letter of Credit, or (b) an other form of credit support satisfactory to, and in the sole discretion of, the Party benefiting from the Acceptable Credit Support.</w:t>
      </w:r>
    </w:p>
    <w:p>
      <w:pPr>
        <w:pStyle w:val="NumContinue"/>
        <w:rPr>
          <w:b/>
        </w:rPr>
      </w:pPr>
      <w:r>
        <w:rPr/>
        <w:t>“</w:t>
      </w:r>
      <w:r>
        <w:rPr>
          <w:b/>
        </w:rPr>
        <w:t>Adjusted Statement</w:t>
      </w:r>
      <w:r>
        <w:rPr/>
        <w:t xml:space="preserve">” has the meaning assigned in Section </w:t>
      </w:r>
      <w:r>
        <w:rPr/>
        <w:fldChar w:fldCharType="begin"/>
      </w:r>
      <w:r>
        <w:rPr/>
        <w:instrText xml:space="preserve"> REF _Ref470592415 \r \r \h </w:instrText>
      </w:r>
      <w:r>
        <w:rPr/>
        <w:fldChar w:fldCharType="separate"/>
      </w:r>
      <w:r>
        <w:rPr/>
        <w:t>4.3</w:t>
      </w:r>
      <w:r>
        <w:rPr/>
        <w:fldChar w:fldCharType="end"/>
      </w:r>
      <w:r>
        <w:rPr/>
        <w:t>.</w:t>
      </w:r>
    </w:p>
    <w:p>
      <w:pPr>
        <w:pStyle w:val="BodyText"/>
        <w:rPr/>
      </w:pPr>
      <w:r>
        <w:rPr/>
        <w:t>“</w:t>
      </w:r>
      <w:r>
        <w:rPr>
          <w:b/>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50% of the outstanding capital stock or other equity interests having ordinary voting rights.</w:t>
      </w:r>
    </w:p>
    <w:p>
      <w:pPr>
        <w:pStyle w:val="BodyText"/>
        <w:rPr/>
      </w:pPr>
      <w:r>
        <w:rPr/>
        <w:t>“</w:t>
      </w:r>
      <w:r>
        <w:rPr>
          <w:b/>
        </w:rPr>
        <w:t>Agreement</w:t>
      </w:r>
      <w:r>
        <w:rPr/>
        <w:t>” means this Electricity Purchase Agreement, including all Exhibits hereto, as amended, restated, supplemented or otherwise modified by written agreement of the Parties from time to time.</w:t>
      </w:r>
    </w:p>
    <w:p>
      <w:pPr>
        <w:pStyle w:val="BodyText"/>
        <w:rPr/>
      </w:pPr>
      <w:r>
        <w:rPr>
          <w:b/>
        </w:rPr>
        <w:t>“</w:t>
      </w:r>
      <w:r>
        <w:rPr>
          <w:b/>
        </w:rPr>
        <w:t>Authorization to Participate”</w:t>
      </w:r>
      <w:r>
        <w:rPr/>
        <w:t xml:space="preserve"> means an authorization pursuant to the Market Rules to participate in the IMO-administered Electricity markets or cause Electricity to be conveyed into, through or out of the IMO-Controlled Grid.</w:t>
      </w:r>
    </w:p>
    <w:p>
      <w:pPr>
        <w:pStyle w:val="BodyText"/>
        <w:rPr/>
      </w:pPr>
      <w:r>
        <w:rPr>
          <w:b/>
        </w:rPr>
        <w:t>“</w:t>
      </w:r>
      <w:r>
        <w:rPr>
          <w:b/>
          <w:i/>
        </w:rPr>
        <w:t>Bank Act</w:t>
      </w:r>
      <w:r>
        <w:rPr>
          <w:b/>
        </w:rPr>
        <w:t xml:space="preserve"> (Canada)”</w:t>
      </w:r>
      <w:r>
        <w:rPr/>
        <w:t xml:space="preserve"> means the </w:t>
      </w:r>
      <w:r>
        <w:rPr>
          <w:i/>
        </w:rPr>
        <w:t>Bank Act,</w:t>
      </w:r>
      <w:r>
        <w:rPr/>
        <w:t xml:space="preserve"> S.C. 1991, c. 46, as amended, restated, replaced or otherwise modified from time to time.</w:t>
      </w:r>
    </w:p>
    <w:p>
      <w:pPr>
        <w:pStyle w:val="BodyText"/>
        <w:rPr>
          <w:b/>
          <w:i/>
          <w:i/>
        </w:rPr>
      </w:pPr>
      <w:r>
        <w:rPr>
          <w:b/>
        </w:rPr>
        <w:t>“</w:t>
      </w:r>
      <w:r>
        <w:rPr>
          <w:b/>
          <w:i/>
        </w:rPr>
        <w:t>Bankruptcy and Insolvency Act</w:t>
      </w:r>
      <w:r>
        <w:rPr>
          <w:b/>
        </w:rPr>
        <w:t xml:space="preserve"> (Canada)”</w:t>
      </w:r>
      <w:r>
        <w:rPr/>
        <w:t xml:space="preserve"> means the </w:t>
      </w:r>
      <w:r>
        <w:rPr>
          <w:i/>
        </w:rPr>
        <w:t xml:space="preserve">Bankruptcy and Insolvency Act, </w:t>
      </w:r>
      <w:r>
        <w:rPr/>
        <w:t>R.S.C. 1985, c. B-3, as amended, restated, replaced or otherwise modified from time to time.</w:t>
      </w:r>
    </w:p>
    <w:p>
      <w:pPr>
        <w:pStyle w:val="BodyText"/>
        <w:rPr>
          <w:b/>
        </w:rPr>
      </w:pPr>
      <w:r>
        <w:rPr>
          <w:b/>
        </w:rPr>
        <w:t>“</w:t>
      </w:r>
      <w:r>
        <w:rPr>
          <w:b/>
        </w:rPr>
        <w:t>Bilateral Contract Data”</w:t>
      </w:r>
      <w:r>
        <w:rPr/>
        <w:t xml:space="preserve"> means all scheduling, bilateral physical dispatch and other transactional and delivery information necessary for the delivery by Seller to Buyer of the Hourly Contract Quantity throughout the Term under the Transaction to be submitted to the IMO in accordance with, and within the time frames prescribed by, the Market Rules, indicating a physical contract and transaction for the Hourly Contract Quantity pursuant to the Transaction.  </w:t>
      </w:r>
    </w:p>
    <w:p>
      <w:pPr>
        <w:pStyle w:val="BodyText"/>
        <w:rPr/>
      </w:pPr>
      <w:r>
        <w:rPr>
          <w:b/>
        </w:rPr>
        <w:t>“</w:t>
      </w:r>
      <w:r>
        <w:rPr>
          <w:b/>
        </w:rPr>
        <w:t>Billing Statement”</w:t>
      </w:r>
      <w:r>
        <w:rPr/>
        <w:t xml:space="preserve"> has the meaning assigned in Section </w:t>
      </w:r>
      <w:r>
        <w:rPr/>
        <w:fldChar w:fldCharType="begin"/>
      </w:r>
      <w:r>
        <w:rPr/>
        <w:instrText xml:space="preserve"> REF _Ref476624377 \r \r \h </w:instrText>
      </w:r>
      <w:r>
        <w:rPr/>
        <w:fldChar w:fldCharType="separate"/>
      </w:r>
      <w:r>
        <w:rPr/>
        <w:t>4.1</w:t>
      </w:r>
      <w:r>
        <w:rPr/>
        <w:fldChar w:fldCharType="end"/>
      </w:r>
      <w:r>
        <w:rPr/>
        <w:t>.</w:t>
      </w:r>
    </w:p>
    <w:p>
      <w:pPr>
        <w:pStyle w:val="BodyText"/>
        <w:rPr/>
      </w:pPr>
      <w:r>
        <w:rPr>
          <w:b/>
        </w:rPr>
        <w:t>“</w:t>
      </w:r>
      <w:r>
        <w:rPr>
          <w:b/>
        </w:rPr>
        <w:t xml:space="preserve">Business Day” </w:t>
      </w:r>
      <w:r>
        <w:rPr/>
        <w:t>means any day other than a Saturday, Sunday or statutory holiday in the Province of Ontario, and which shall be deemed to begin at 8:00 a.m., EPT, and end at 5:30 p.m., EPT.</w:t>
      </w:r>
    </w:p>
    <w:p>
      <w:pPr>
        <w:pStyle w:val="BodyText"/>
        <w:rPr/>
      </w:pPr>
      <w:r>
        <w:rPr>
          <w:b/>
        </w:rPr>
        <w:t>“</w:t>
      </w:r>
      <w:r>
        <w:rPr>
          <w:b/>
        </w:rPr>
        <w:t xml:space="preserve">Buyer” </w:t>
      </w:r>
      <w:r>
        <w:rPr/>
        <w:t>means Enron Canada Corp., its successors and permitted assigns.</w:t>
      </w:r>
    </w:p>
    <w:p>
      <w:pPr>
        <w:pStyle w:val="BodyText"/>
        <w:rPr/>
      </w:pPr>
      <w:r>
        <w:rPr>
          <w:b/>
        </w:rPr>
        <w:t>“</w:t>
      </w:r>
      <w:r>
        <w:rPr>
          <w:b/>
        </w:rPr>
        <w:t>Buyer’s Collateral Amount”</w:t>
      </w:r>
      <w:r>
        <w:rPr/>
        <w:t xml:space="preserve"> has the meaning assigned in Section </w:t>
      </w:r>
      <w:r>
        <w:rPr/>
        <w:fldChar w:fldCharType="begin"/>
      </w:r>
      <w:r>
        <w:rPr/>
        <w:instrText xml:space="preserve"> REF _Ref477747544 \r \r \h </w:instrText>
      </w:r>
      <w:r>
        <w:rPr/>
        <w:fldChar w:fldCharType="separate"/>
      </w:r>
      <w:r>
        <w:rPr/>
        <w:t>8.2</w:t>
      </w:r>
      <w:r>
        <w:rPr/>
        <w:fldChar w:fldCharType="end"/>
      </w:r>
      <w:r>
        <w:rPr/>
        <w:t>.</w:t>
      </w:r>
    </w:p>
    <w:p>
      <w:pPr>
        <w:pStyle w:val="BodyText"/>
        <w:rPr/>
      </w:pPr>
      <w:r>
        <w:rPr>
          <w:b/>
        </w:rPr>
        <w:t>“</w:t>
      </w:r>
      <w:r>
        <w:rPr>
          <w:b/>
        </w:rPr>
        <w:t>Buyer’s Conditions Precedent”</w:t>
      </w:r>
      <w:r>
        <w:rPr/>
        <w:t xml:space="preserve"> means each of the following:</w:t>
      </w:r>
    </w:p>
    <w:p>
      <w:pPr>
        <w:pStyle w:val="BodyText"/>
        <w:numPr>
          <w:ilvl w:val="2"/>
          <w:numId w:val="12"/>
        </w:numPr>
        <w:rPr/>
      </w:pPr>
      <w:r>
        <w:rPr/>
        <w:t>as of the Commencement Date, there shall not be existing and continuing any Event of Default with respect to Seller;</w:t>
      </w:r>
    </w:p>
    <w:p>
      <w:pPr>
        <w:pStyle w:val="BodyText"/>
        <w:numPr>
          <w:ilvl w:val="2"/>
          <w:numId w:val="12"/>
        </w:numPr>
        <w:rPr/>
      </w:pPr>
      <w:r>
        <w:rPr/>
        <w:t>within three Business Days after the execution and delivery of this Agreement by Seller and Buyer, Seller’s Guarantor shall have executed and delivered to Buyer a Guarantee Agreement in the form attached as Exhibit “B”;</w:t>
      </w:r>
    </w:p>
    <w:p>
      <w:pPr>
        <w:pStyle w:val="BodyText"/>
        <w:numPr>
          <w:ilvl w:val="2"/>
          <w:numId w:val="12"/>
        </w:numPr>
        <w:rPr/>
      </w:pPr>
      <w:r>
        <w:rPr/>
        <w:t xml:space="preserve">on or before the date which is 60 days prior to Market Opening, Buyer shall have entered into definitive agreements, each on terms and conditions satisfactory to Buyer in its sole discretion, for the sale or other disposition by Buyer of not less than 90% of the Total Contract Quantity; </w:t>
      </w:r>
    </w:p>
    <w:p>
      <w:pPr>
        <w:pStyle w:val="BodyText"/>
        <w:numPr>
          <w:ilvl w:val="2"/>
          <w:numId w:val="12"/>
        </w:numPr>
        <w:rPr/>
      </w:pPr>
      <w:r>
        <w:rPr/>
        <w:t xml:space="preserve">on or before the date which is 60 days prior to Market Opening, Buyer shall have obtained the following Regulatory Approvals: </w:t>
      </w:r>
    </w:p>
    <w:p>
      <w:pPr>
        <w:pStyle w:val="BodyText"/>
        <w:numPr>
          <w:ilvl w:val="3"/>
          <w:numId w:val="12"/>
        </w:numPr>
        <w:rPr/>
      </w:pPr>
      <w:r>
        <w:rPr/>
        <w:t>from the Ontario Energy Board:</w:t>
      </w:r>
    </w:p>
    <w:p>
      <w:pPr>
        <w:pStyle w:val="BodyText"/>
        <w:numPr>
          <w:ilvl w:val="0"/>
          <w:numId w:val="14"/>
        </w:numPr>
        <w:rPr/>
      </w:pPr>
      <w:r>
        <w:rPr/>
        <w:t>a Retail Seller’s License;</w:t>
      </w:r>
    </w:p>
    <w:p>
      <w:pPr>
        <w:pStyle w:val="BodyText"/>
        <w:numPr>
          <w:ilvl w:val="0"/>
          <w:numId w:val="14"/>
        </w:numPr>
        <w:rPr/>
      </w:pPr>
      <w:r>
        <w:rPr/>
        <w:t xml:space="preserve">if by then required as a result of being proclaimed in force pursuant to the </w:t>
      </w:r>
      <w:r>
        <w:rPr>
          <w:i/>
        </w:rPr>
        <w:t>Ontario Energy Board Act</w:t>
      </w:r>
      <w:r>
        <w:rPr/>
        <w:t xml:space="preserve"> (Ontario), a Wholesale Buyer’s License; and</w:t>
      </w:r>
    </w:p>
    <w:p>
      <w:pPr>
        <w:pStyle w:val="BodyText"/>
        <w:numPr>
          <w:ilvl w:val="0"/>
          <w:numId w:val="14"/>
        </w:numPr>
        <w:rPr/>
      </w:pPr>
      <w:r>
        <w:rPr/>
        <w:t xml:space="preserve">if by then required as a result of being proclaimed in force pursuant to the </w:t>
      </w:r>
      <w:r>
        <w:rPr>
          <w:i/>
        </w:rPr>
        <w:t>Ontario Energy Board Act</w:t>
      </w:r>
      <w:r>
        <w:rPr/>
        <w:t xml:space="preserve"> (Ontario), a Wholesale Seller’s License; and</w:t>
      </w:r>
    </w:p>
    <w:p>
      <w:pPr>
        <w:pStyle w:val="BodyText"/>
        <w:ind w:start="1440" w:end="0"/>
        <w:rPr/>
      </w:pPr>
      <w:r>
        <w:rPr/>
        <w:t>(ii)</w:t>
        <w:tab/>
        <w:t>from the IMO, an Authorization to Participate; and</w:t>
      </w:r>
    </w:p>
    <w:p>
      <w:pPr>
        <w:pStyle w:val="BodyText"/>
        <w:numPr>
          <w:ilvl w:val="2"/>
          <w:numId w:val="12"/>
        </w:numPr>
        <w:rPr/>
      </w:pPr>
      <w:r>
        <w:rPr/>
        <w:t xml:space="preserve">on or before May 31, 2001 in addition to Market Opening, the Market Rules (including distribution, tariffs, licenses and codes) shall also have come into force providing for the following with respect to the Specified Retailers:  (i) the provision of open, non-discriminatory access to the distribution systems owned or operated by the Specified Retailers; and (ii) the right of choice of electricity suppliers for Consumers in Ontario.  </w:t>
      </w:r>
    </w:p>
    <w:p>
      <w:pPr>
        <w:pStyle w:val="BodyText"/>
        <w:rPr>
          <w:b/>
        </w:rPr>
      </w:pPr>
      <w:r>
        <w:rPr>
          <w:b/>
        </w:rPr>
        <w:t>“</w:t>
      </w:r>
      <w:r>
        <w:rPr>
          <w:b/>
        </w:rPr>
        <w:t>Buyer’s Contract”</w:t>
      </w:r>
      <w:r>
        <w:rPr/>
        <w:t xml:space="preserve"> means any agreement effective during the Term pursuant to which Buyer has agreed to sell or deliver all or any part of the Hourly Contract Quantity to any other Person.</w:t>
      </w:r>
    </w:p>
    <w:p>
      <w:pPr>
        <w:pStyle w:val="BodyText"/>
        <w:rPr/>
      </w:pPr>
      <w:r>
        <w:rPr>
          <w:b/>
        </w:rPr>
        <w:t>“</w:t>
      </w:r>
      <w:r>
        <w:rPr>
          <w:b/>
        </w:rPr>
        <w:t>Buyer’s Contracted Force Majeure Event”</w:t>
      </w:r>
      <w:r>
        <w:rPr/>
        <w:t xml:space="preserve"> means where an Event of Force Majeure under or as defined by a Buyer’s Contract results in Buyer’s delivery, load or Electricity demand requirements (and related obligations) under a Buyer’s Contract being excused, reduced or curtailed by more than five MW per hour as determined in the aggregate at any time under all Buyer’s Contracts then in effect, provided that:</w:t>
      </w:r>
    </w:p>
    <w:p>
      <w:pPr>
        <w:pStyle w:val="BodyText"/>
        <w:numPr>
          <w:ilvl w:val="0"/>
          <w:numId w:val="9"/>
        </w:numPr>
        <w:rPr/>
      </w:pPr>
      <w:r>
        <w:rPr/>
        <w:t xml:space="preserve">any such Event of Force Majeure shall be applicable as defined herein and only with respect to those events or occurrences defined herein as Specified Events of Force Majeure; and </w:t>
      </w:r>
    </w:p>
    <w:p>
      <w:pPr>
        <w:pStyle w:val="BodyText"/>
        <w:numPr>
          <w:ilvl w:val="0"/>
          <w:numId w:val="9"/>
        </w:numPr>
        <w:rPr/>
      </w:pPr>
      <w:r>
        <w:rPr/>
        <w:t xml:space="preserve">with respect to Unanticipated Maintenance or Outages Arising as a Result of Certain Specified Events of Force Majeure, such events or occurrences shall apply </w:t>
      </w:r>
      <w:r>
        <w:rPr>
          <w:i/>
        </w:rPr>
        <w:t>mutatis mutandis</w:t>
      </w:r>
      <w:r>
        <w:rPr/>
        <w:t xml:space="preserve"> in respect of the equipment, facilities, works and undertakings of the Person counterparty to Buyer under a Buyer’s Contract to which any Electricity is to be delivered under a Buyer’s Contract to a Designated Ontario Load Delivery Point, and with respect to such Person being the party claiming the Event of Force Majeure under such Buyer’s Contract.</w:t>
      </w:r>
    </w:p>
    <w:p>
      <w:pPr>
        <w:pStyle w:val="BodyText"/>
        <w:rPr/>
      </w:pPr>
      <w:r>
        <w:rPr>
          <w:b/>
        </w:rPr>
        <w:t>“</w:t>
      </w:r>
      <w:r>
        <w:rPr>
          <w:b/>
        </w:rPr>
        <w:t>Buyer’s Deficiency”</w:t>
      </w:r>
      <w:r>
        <w:rPr/>
        <w:t xml:space="preserve"> has the meaning assigned in Section </w:t>
      </w:r>
      <w:r>
        <w:rPr/>
        <w:fldChar w:fldCharType="begin"/>
      </w:r>
      <w:r>
        <w:rPr/>
        <w:instrText xml:space="preserve"> REF _Ref476624413 \r \r \h </w:instrText>
      </w:r>
      <w:r>
        <w:rPr/>
        <w:fldChar w:fldCharType="separate"/>
      </w:r>
      <w:r>
        <w:rPr/>
        <w:t>2.5</w:t>
      </w:r>
      <w:r>
        <w:rPr/>
        <w:fldChar w:fldCharType="end"/>
      </w:r>
      <w:r>
        <w:rPr/>
        <w:t>.</w:t>
      </w:r>
    </w:p>
    <w:p>
      <w:pPr>
        <w:pStyle w:val="BodyText"/>
        <w:rPr/>
      </w:pPr>
      <w:r>
        <w:rPr>
          <w:b/>
        </w:rPr>
        <w:t>“</w:t>
      </w:r>
      <w:r>
        <w:rPr>
          <w:b/>
        </w:rPr>
        <w:t>Buyer’s Guarantor”</w:t>
      </w:r>
      <w:r>
        <w:rPr/>
        <w:t xml:space="preserve"> means Enron Corp., an Oregon corporation.</w:t>
      </w:r>
    </w:p>
    <w:p>
      <w:pPr>
        <w:pStyle w:val="BodyText"/>
        <w:rPr/>
      </w:pPr>
      <w:r>
        <w:rPr>
          <w:b/>
        </w:rPr>
        <w:t>“</w:t>
      </w:r>
      <w:r>
        <w:rPr>
          <w:b/>
        </w:rPr>
        <w:t>Buyer’s Maximum Net Exposure”</w:t>
      </w:r>
      <w:r>
        <w:rPr/>
        <w:t xml:space="preserve"> means the maximum net exposure of Buyer as determined by the IMO pursuant to the provisions of the Market Rules governing the provision of prudential support by participants in the IMO-administered markets.</w:t>
      </w:r>
    </w:p>
    <w:p>
      <w:pPr>
        <w:pStyle w:val="BodyText"/>
        <w:rPr/>
      </w:pPr>
      <w:r>
        <w:rPr>
          <w:b/>
        </w:rPr>
        <w:t>“</w:t>
      </w:r>
      <w:r>
        <w:rPr>
          <w:b/>
        </w:rPr>
        <w:t>Certain Specified Events of Force Majeure”</w:t>
      </w:r>
      <w:r>
        <w:rPr/>
        <w:t xml:space="preserve"> means each of those Specified Events of Force Majeure referred to in clauses (a) through (i) inclusive of the definition of Specified Events of Force Majeure.</w:t>
      </w:r>
    </w:p>
    <w:p>
      <w:pPr>
        <w:pStyle w:val="BodyText"/>
        <w:rPr>
          <w:b/>
        </w:rPr>
      </w:pPr>
      <w:r>
        <w:rPr>
          <w:b/>
        </w:rPr>
        <w:t>“</w:t>
      </w:r>
      <w:r>
        <w:rPr>
          <w:b/>
        </w:rPr>
        <w:t>Claiming Party”</w:t>
      </w:r>
      <w:r>
        <w:rPr/>
        <w:t xml:space="preserve"> has the meaning assigned in Section </w:t>
      </w:r>
      <w:r>
        <w:rPr/>
        <w:fldChar w:fldCharType="begin"/>
      </w:r>
      <w:r>
        <w:rPr/>
        <w:instrText xml:space="preserve"> REF _Ref476624437 \r \r \h </w:instrText>
      </w:r>
      <w:r>
        <w:rPr/>
        <w:fldChar w:fldCharType="separate"/>
      </w:r>
      <w:r>
        <w:rPr/>
        <w:t>11.1</w:t>
      </w:r>
      <w:r>
        <w:rPr/>
        <w:fldChar w:fldCharType="end"/>
      </w:r>
      <w:r>
        <w:rPr/>
        <w:t>.</w:t>
      </w:r>
    </w:p>
    <w:p>
      <w:pPr>
        <w:pStyle w:val="BodyText"/>
        <w:rPr/>
      </w:pPr>
      <w:r>
        <w:rPr>
          <w:b/>
        </w:rPr>
        <w:t>“</w:t>
      </w:r>
      <w:r>
        <w:rPr>
          <w:b/>
        </w:rPr>
        <w:t>Commencement Date”</w:t>
      </w:r>
      <w:r>
        <w:rPr/>
        <w:t xml:space="preserve"> means the date on which the last of the Conditions Precedent is satisfied or waived, as applicable.</w:t>
      </w:r>
    </w:p>
    <w:p>
      <w:pPr>
        <w:pStyle w:val="BodyText"/>
        <w:rPr/>
      </w:pPr>
      <w:r>
        <w:rPr>
          <w:b/>
        </w:rPr>
        <w:t>“</w:t>
      </w:r>
      <w:r>
        <w:rPr>
          <w:b/>
          <w:i/>
        </w:rPr>
        <w:t>Companies’ Creditors Arrangement Act</w:t>
      </w:r>
      <w:r>
        <w:rPr>
          <w:b/>
        </w:rPr>
        <w:t xml:space="preserve"> (Canada)”</w:t>
      </w:r>
      <w:r>
        <w:rPr/>
        <w:t xml:space="preserve"> means the </w:t>
      </w:r>
      <w:r>
        <w:rPr>
          <w:i/>
        </w:rPr>
        <w:t>Companies’ Creditors Arrangement Act,</w:t>
      </w:r>
      <w:r>
        <w:rPr/>
        <w:t xml:space="preserve"> R.S.C. 1985, c. C-36, as amended, restated, replaced or otherwise modified from time to time.</w:t>
      </w:r>
    </w:p>
    <w:p>
      <w:pPr>
        <w:pStyle w:val="BodyText"/>
        <w:rPr/>
      </w:pPr>
      <w:r>
        <w:rPr>
          <w:b/>
        </w:rPr>
        <w:t>“</w:t>
      </w:r>
      <w:r>
        <w:rPr>
          <w:b/>
        </w:rPr>
        <w:t>Conditions Precedent”</w:t>
      </w:r>
      <w:r>
        <w:rPr/>
        <w:t xml:space="preserve"> means, collectively, the Buyer’s Conditions Precedent, the Seller’s Conditions Precedent and the Mutual Condition Precedent.</w:t>
      </w:r>
    </w:p>
    <w:p>
      <w:pPr>
        <w:pStyle w:val="BodyText"/>
        <w:rPr/>
      </w:pPr>
      <w:r>
        <w:rPr>
          <w:b/>
        </w:rPr>
        <w:t>“</w:t>
      </w:r>
      <w:r>
        <w:rPr>
          <w:b/>
        </w:rPr>
        <w:t>Consumer”</w:t>
      </w:r>
      <w:r>
        <w:rPr/>
        <w:t xml:space="preserve"> means a Person who uses, for the Person’s own consumption, Electricity that the Person did not generate</w:t>
      </w:r>
      <w:r>
        <w:rPr>
          <w:sz w:val="22"/>
        </w:rPr>
        <w:t>.</w:t>
      </w:r>
    </w:p>
    <w:p>
      <w:pPr>
        <w:pStyle w:val="BodyText"/>
        <w:rPr/>
      </w:pPr>
      <w:r>
        <w:rPr>
          <w:b/>
        </w:rPr>
        <w:t>“</w:t>
      </w:r>
      <w:r>
        <w:rPr>
          <w:b/>
        </w:rPr>
        <w:t xml:space="preserve">Contract Price” </w:t>
      </w:r>
      <w:r>
        <w:rPr/>
        <w:t>means, depending on the month during which the Commencement Date occurs, as indicated below, the amount per MWh as set forth below:</w:t>
      </w:r>
    </w:p>
    <w:tbl>
      <w:tblPr>
        <w:tblW w:w="9576" w:type="dxa"/>
        <w:jc w:val="start"/>
        <w:tblInd w:w="0" w:type="dxa"/>
        <w:tblLayout w:type="fixed"/>
        <w:tblCellMar>
          <w:top w:w="0" w:type="dxa"/>
          <w:start w:w="108" w:type="dxa"/>
          <w:bottom w:w="0" w:type="dxa"/>
          <w:end w:w="108" w:type="dxa"/>
        </w:tblCellMar>
      </w:tblPr>
      <w:tblGrid>
        <w:gridCol w:w="1728"/>
        <w:gridCol w:w="3330"/>
        <w:gridCol w:w="4518"/>
      </w:tblGrid>
      <w:tr>
        <w:trPr/>
        <w:tc>
          <w:tcPr>
            <w:tcW w:w="1728" w:type="dxa"/>
            <w:tcBorders/>
          </w:tcPr>
          <w:p>
            <w:pPr>
              <w:pStyle w:val="BodyText"/>
              <w:snapToGrid w:val="false"/>
              <w:spacing w:before="60" w:after="60"/>
              <w:rPr/>
            </w:pPr>
            <w:r>
              <w:rPr/>
            </w:r>
          </w:p>
        </w:tc>
        <w:tc>
          <w:tcPr>
            <w:tcW w:w="3330" w:type="dxa"/>
            <w:tcBorders/>
          </w:tcPr>
          <w:p>
            <w:pPr>
              <w:pStyle w:val="Article8L1"/>
              <w:keepNext w:val="false"/>
              <w:numPr>
                <w:ilvl w:val="0"/>
                <w:numId w:val="0"/>
              </w:numPr>
              <w:spacing w:before="60" w:after="60"/>
              <w:ind w:hanging="0" w:start="0"/>
              <w:outlineLvl w:val="9"/>
              <w:rPr>
                <w:b/>
                <w:lang w:val="en-CA"/>
              </w:rPr>
            </w:pPr>
            <w:r>
              <w:rPr>
                <w:b/>
                <w:lang w:val="en-CA"/>
              </w:rPr>
              <w:t>Month of Commencement Date</w:t>
            </w:r>
          </w:p>
        </w:tc>
        <w:tc>
          <w:tcPr>
            <w:tcW w:w="4518" w:type="dxa"/>
            <w:tcBorders/>
          </w:tcPr>
          <w:p>
            <w:pPr>
              <w:pStyle w:val="Heading1"/>
              <w:spacing w:before="60" w:after="60"/>
              <w:ind w:hanging="0" w:start="0"/>
              <w:jc w:val="center"/>
              <w:rPr>
                <w:sz w:val="24"/>
              </w:rPr>
            </w:pPr>
            <w:r>
              <w:rPr>
                <w:sz w:val="24"/>
              </w:rPr>
              <w:t>Contract Price</w:t>
            </w:r>
          </w:p>
        </w:tc>
      </w:tr>
      <w:tr>
        <w:trPr/>
        <w:tc>
          <w:tcPr>
            <w:tcW w:w="1728" w:type="dxa"/>
            <w:tcBorders/>
          </w:tcPr>
          <w:p>
            <w:pPr>
              <w:pStyle w:val="BodyText"/>
              <w:snapToGrid w:val="false"/>
              <w:spacing w:before="60" w:after="60"/>
              <w:rPr>
                <w:sz w:val="24"/>
              </w:rPr>
            </w:pPr>
            <w:r>
              <w:rPr>
                <w:sz w:val="24"/>
              </w:rPr>
            </w:r>
          </w:p>
        </w:tc>
        <w:tc>
          <w:tcPr>
            <w:tcW w:w="3330" w:type="dxa"/>
            <w:tcBorders/>
          </w:tcPr>
          <w:p>
            <w:pPr>
              <w:pStyle w:val="Heading1"/>
              <w:spacing w:before="60" w:after="60"/>
              <w:ind w:hanging="0" w:start="0"/>
              <w:jc w:val="center"/>
              <w:rPr>
                <w:b w:val="false"/>
                <w:sz w:val="24"/>
              </w:rPr>
            </w:pPr>
            <w:r>
              <w:rPr>
                <w:b w:val="false"/>
                <w:sz w:val="24"/>
              </w:rPr>
              <w:t>November, 2000</w:t>
            </w:r>
          </w:p>
        </w:tc>
        <w:tc>
          <w:tcPr>
            <w:tcW w:w="4518" w:type="dxa"/>
            <w:tcBorders/>
          </w:tcPr>
          <w:p>
            <w:pPr>
              <w:pStyle w:val="Article8L1"/>
              <w:keepNext w:val="false"/>
              <w:numPr>
                <w:ilvl w:val="0"/>
                <w:numId w:val="0"/>
              </w:numPr>
              <w:spacing w:before="60" w:after="60"/>
              <w:ind w:hanging="0" w:start="0"/>
              <w:outlineLvl w:val="9"/>
              <w:rPr>
                <w:lang w:val="en-CA"/>
              </w:rPr>
            </w:pPr>
            <w:r>
              <w:rPr>
                <w:lang w:val="en-CA"/>
              </w:rPr>
              <w:t>$37.95</w:t>
            </w:r>
          </w:p>
        </w:tc>
      </w:tr>
      <w:tr>
        <w:trPr/>
        <w:tc>
          <w:tcPr>
            <w:tcW w:w="1728" w:type="dxa"/>
            <w:tcBorders/>
          </w:tcPr>
          <w:p>
            <w:pPr>
              <w:pStyle w:val="BodyText"/>
              <w:snapToGrid w:val="false"/>
              <w:spacing w:before="60" w:after="60"/>
              <w:rPr>
                <w:lang w:val="en-CA"/>
              </w:rPr>
            </w:pPr>
            <w:r>
              <w:rPr>
                <w:lang w:val="en-CA"/>
              </w:rPr>
            </w:r>
          </w:p>
        </w:tc>
        <w:tc>
          <w:tcPr>
            <w:tcW w:w="3330" w:type="dxa"/>
            <w:tcBorders/>
          </w:tcPr>
          <w:p>
            <w:pPr>
              <w:pStyle w:val="Heading1"/>
              <w:spacing w:before="60" w:after="60"/>
              <w:ind w:hanging="0" w:start="0"/>
              <w:jc w:val="center"/>
              <w:rPr>
                <w:b w:val="false"/>
                <w:sz w:val="24"/>
              </w:rPr>
            </w:pPr>
            <w:r>
              <w:rPr>
                <w:b w:val="false"/>
                <w:sz w:val="24"/>
              </w:rPr>
              <w:t>December, 2000</w:t>
            </w:r>
          </w:p>
        </w:tc>
        <w:tc>
          <w:tcPr>
            <w:tcW w:w="4518" w:type="dxa"/>
            <w:tcBorders/>
          </w:tcPr>
          <w:p>
            <w:pPr>
              <w:pStyle w:val="Normal"/>
              <w:spacing w:before="60" w:after="60"/>
              <w:jc w:val="center"/>
              <w:rPr/>
            </w:pPr>
            <w:r>
              <w:rPr/>
              <w:t>$37.95</w:t>
            </w:r>
          </w:p>
        </w:tc>
      </w:tr>
      <w:tr>
        <w:trPr/>
        <w:tc>
          <w:tcPr>
            <w:tcW w:w="1728" w:type="dxa"/>
            <w:tcBorders/>
          </w:tcPr>
          <w:p>
            <w:pPr>
              <w:pStyle w:val="BodyText"/>
              <w:snapToGrid w:val="false"/>
              <w:spacing w:before="60" w:after="60"/>
              <w:rPr/>
            </w:pPr>
            <w:r>
              <w:rPr/>
            </w:r>
          </w:p>
        </w:tc>
        <w:tc>
          <w:tcPr>
            <w:tcW w:w="3330" w:type="dxa"/>
            <w:tcBorders/>
          </w:tcPr>
          <w:p>
            <w:pPr>
              <w:pStyle w:val="Heading1"/>
              <w:spacing w:before="60" w:after="60"/>
              <w:ind w:hanging="0" w:start="0"/>
              <w:jc w:val="center"/>
              <w:rPr>
                <w:b w:val="false"/>
                <w:sz w:val="24"/>
              </w:rPr>
            </w:pPr>
            <w:r>
              <w:rPr>
                <w:b w:val="false"/>
                <w:sz w:val="24"/>
              </w:rPr>
              <w:t>January, 2001</w:t>
            </w:r>
          </w:p>
        </w:tc>
        <w:tc>
          <w:tcPr>
            <w:tcW w:w="4518" w:type="dxa"/>
            <w:tcBorders/>
          </w:tcPr>
          <w:p>
            <w:pPr>
              <w:pStyle w:val="Normal"/>
              <w:spacing w:before="60" w:after="60"/>
              <w:jc w:val="center"/>
              <w:rPr/>
            </w:pPr>
            <w:r>
              <w:rPr/>
              <w:t>$37.75</w:t>
            </w:r>
          </w:p>
        </w:tc>
      </w:tr>
      <w:tr>
        <w:trPr/>
        <w:tc>
          <w:tcPr>
            <w:tcW w:w="1728" w:type="dxa"/>
            <w:tcBorders/>
          </w:tcPr>
          <w:p>
            <w:pPr>
              <w:pStyle w:val="BodyText"/>
              <w:snapToGrid w:val="false"/>
              <w:spacing w:before="60" w:after="60"/>
              <w:rPr/>
            </w:pPr>
            <w:r>
              <w:rPr/>
            </w:r>
          </w:p>
        </w:tc>
        <w:tc>
          <w:tcPr>
            <w:tcW w:w="3330" w:type="dxa"/>
            <w:tcBorders/>
          </w:tcPr>
          <w:p>
            <w:pPr>
              <w:pStyle w:val="Heading1"/>
              <w:spacing w:before="60" w:after="60"/>
              <w:ind w:hanging="0" w:start="0"/>
              <w:jc w:val="center"/>
              <w:rPr>
                <w:b w:val="false"/>
                <w:sz w:val="24"/>
              </w:rPr>
            </w:pPr>
            <w:r>
              <w:rPr>
                <w:b w:val="false"/>
                <w:sz w:val="24"/>
              </w:rPr>
              <w:t>February, 2001</w:t>
            </w:r>
          </w:p>
        </w:tc>
        <w:tc>
          <w:tcPr>
            <w:tcW w:w="4518" w:type="dxa"/>
            <w:tcBorders/>
          </w:tcPr>
          <w:p>
            <w:pPr>
              <w:pStyle w:val="Normal"/>
              <w:spacing w:before="60" w:after="60"/>
              <w:jc w:val="center"/>
              <w:rPr/>
            </w:pPr>
            <w:r>
              <w:rPr/>
              <w:t>$37.55</w:t>
            </w:r>
          </w:p>
        </w:tc>
      </w:tr>
      <w:tr>
        <w:trPr/>
        <w:tc>
          <w:tcPr>
            <w:tcW w:w="1728" w:type="dxa"/>
            <w:tcBorders/>
          </w:tcPr>
          <w:p>
            <w:pPr>
              <w:pStyle w:val="BodyText"/>
              <w:snapToGrid w:val="false"/>
              <w:spacing w:before="60" w:after="60"/>
              <w:rPr/>
            </w:pPr>
            <w:r>
              <w:rPr/>
            </w:r>
          </w:p>
        </w:tc>
        <w:tc>
          <w:tcPr>
            <w:tcW w:w="3330" w:type="dxa"/>
            <w:tcBorders/>
          </w:tcPr>
          <w:p>
            <w:pPr>
              <w:pStyle w:val="Heading1"/>
              <w:spacing w:before="60" w:after="60"/>
              <w:ind w:hanging="0" w:start="0"/>
              <w:jc w:val="center"/>
              <w:rPr>
                <w:b w:val="false"/>
                <w:sz w:val="24"/>
              </w:rPr>
            </w:pPr>
            <w:r>
              <w:rPr>
                <w:b w:val="false"/>
                <w:sz w:val="24"/>
              </w:rPr>
              <w:t>March, 2001</w:t>
            </w:r>
          </w:p>
        </w:tc>
        <w:tc>
          <w:tcPr>
            <w:tcW w:w="4518" w:type="dxa"/>
            <w:tcBorders/>
          </w:tcPr>
          <w:p>
            <w:pPr>
              <w:pStyle w:val="Normal"/>
              <w:spacing w:before="60" w:after="60"/>
              <w:jc w:val="center"/>
              <w:rPr/>
            </w:pPr>
            <w:r>
              <w:rPr/>
              <w:t>$37.20</w:t>
            </w:r>
          </w:p>
        </w:tc>
      </w:tr>
      <w:tr>
        <w:trPr/>
        <w:tc>
          <w:tcPr>
            <w:tcW w:w="1728" w:type="dxa"/>
            <w:tcBorders/>
          </w:tcPr>
          <w:p>
            <w:pPr>
              <w:pStyle w:val="BodyText"/>
              <w:snapToGrid w:val="false"/>
              <w:spacing w:before="60" w:after="60"/>
              <w:rPr/>
            </w:pPr>
            <w:r>
              <w:rPr/>
            </w:r>
          </w:p>
        </w:tc>
        <w:tc>
          <w:tcPr>
            <w:tcW w:w="3330" w:type="dxa"/>
            <w:tcBorders/>
          </w:tcPr>
          <w:p>
            <w:pPr>
              <w:pStyle w:val="Heading1"/>
              <w:spacing w:before="60" w:after="60"/>
              <w:ind w:hanging="0" w:start="0"/>
              <w:jc w:val="center"/>
              <w:rPr>
                <w:b w:val="false"/>
                <w:sz w:val="24"/>
              </w:rPr>
            </w:pPr>
            <w:r>
              <w:rPr>
                <w:b w:val="false"/>
                <w:sz w:val="24"/>
              </w:rPr>
              <w:t>April, 2001</w:t>
            </w:r>
          </w:p>
        </w:tc>
        <w:tc>
          <w:tcPr>
            <w:tcW w:w="4518" w:type="dxa"/>
            <w:tcBorders/>
          </w:tcPr>
          <w:p>
            <w:pPr>
              <w:pStyle w:val="Normal"/>
              <w:spacing w:before="60" w:after="60"/>
              <w:jc w:val="center"/>
              <w:rPr/>
            </w:pPr>
            <w:r>
              <w:rPr/>
              <w:t>$37.35</w:t>
            </w:r>
          </w:p>
        </w:tc>
      </w:tr>
      <w:tr>
        <w:trPr/>
        <w:tc>
          <w:tcPr>
            <w:tcW w:w="1728" w:type="dxa"/>
            <w:tcBorders/>
          </w:tcPr>
          <w:p>
            <w:pPr>
              <w:pStyle w:val="BodyText"/>
              <w:snapToGrid w:val="false"/>
              <w:spacing w:before="60" w:after="60"/>
              <w:rPr/>
            </w:pPr>
            <w:r>
              <w:rPr/>
            </w:r>
          </w:p>
        </w:tc>
        <w:tc>
          <w:tcPr>
            <w:tcW w:w="3330" w:type="dxa"/>
            <w:tcBorders/>
          </w:tcPr>
          <w:p>
            <w:pPr>
              <w:pStyle w:val="Heading1"/>
              <w:spacing w:before="60" w:after="60"/>
              <w:ind w:hanging="0" w:start="0"/>
              <w:jc w:val="center"/>
              <w:rPr>
                <w:b w:val="false"/>
                <w:sz w:val="24"/>
              </w:rPr>
            </w:pPr>
            <w:r>
              <w:rPr>
                <w:b w:val="false"/>
                <w:sz w:val="24"/>
              </w:rPr>
              <w:t>May, 2001</w:t>
            </w:r>
          </w:p>
        </w:tc>
        <w:tc>
          <w:tcPr>
            <w:tcW w:w="4518" w:type="dxa"/>
            <w:tcBorders/>
          </w:tcPr>
          <w:p>
            <w:pPr>
              <w:pStyle w:val="Normal"/>
              <w:spacing w:before="60" w:after="60"/>
              <w:jc w:val="center"/>
              <w:rPr/>
            </w:pPr>
            <w:r>
              <w:rPr/>
              <w:t>$37.50</w:t>
            </w:r>
          </w:p>
        </w:tc>
      </w:tr>
    </w:tbl>
    <w:p>
      <w:pPr>
        <w:pStyle w:val="BodyText"/>
        <w:rPr/>
      </w:pPr>
      <w:r>
        <w:rPr/>
      </w:r>
    </w:p>
    <w:p>
      <w:pPr>
        <w:pStyle w:val="BodyText"/>
        <w:rPr/>
      </w:pPr>
      <w:r>
        <w:rPr>
          <w:b/>
        </w:rPr>
        <w:t>“</w:t>
      </w:r>
      <w:r>
        <w:rPr>
          <w:b/>
        </w:rPr>
        <w:t>Costs”</w:t>
      </w:r>
      <w:r>
        <w:rPr/>
        <w:t xml:space="preserve"> has the meaning assigned in Section </w:t>
      </w:r>
      <w:r>
        <w:rPr/>
        <w:fldChar w:fldCharType="begin"/>
      </w:r>
      <w:r>
        <w:rPr/>
        <w:instrText xml:space="preserve"> REF _Ref476624478 \r \r \h </w:instrText>
      </w:r>
      <w:r>
        <w:rPr/>
        <w:fldChar w:fldCharType="separate"/>
      </w:r>
      <w:r>
        <w:rPr/>
        <w:t>Article 7(i)</w:t>
      </w:r>
      <w:r>
        <w:rPr/>
        <w:fldChar w:fldCharType="end"/>
      </w:r>
      <w:r>
        <w:rPr/>
        <w:t>.</w:t>
      </w:r>
    </w:p>
    <w:p>
      <w:pPr>
        <w:pStyle w:val="BodyText"/>
        <w:rPr/>
      </w:pPr>
      <w:r>
        <w:rPr>
          <w:b/>
        </w:rPr>
        <w:t>“</w:t>
      </w:r>
      <w:r>
        <w:rPr>
          <w:b/>
        </w:rPr>
        <w:t>Defaulting Party”</w:t>
      </w:r>
      <w:r>
        <w:rPr/>
        <w:t xml:space="preserve"> has the meaning assigned in Section </w:t>
      </w:r>
      <w:r>
        <w:rPr/>
        <w:fldChar w:fldCharType="begin"/>
      </w:r>
      <w:r>
        <w:rPr/>
        <w:instrText xml:space="preserve"> REF _Ref471213891 \r \r \h </w:instrText>
      </w:r>
      <w:r>
        <w:rPr/>
        <w:fldChar w:fldCharType="separate"/>
      </w:r>
      <w:r>
        <w:rPr/>
        <w:t>7.1</w:t>
      </w:r>
      <w:r>
        <w:rPr/>
        <w:fldChar w:fldCharType="end"/>
      </w:r>
      <w:r>
        <w:rPr/>
        <w:t>.</w:t>
      </w:r>
    </w:p>
    <w:p>
      <w:pPr>
        <w:pStyle w:val="BodyText"/>
        <w:rPr>
          <w:b/>
        </w:rPr>
      </w:pPr>
      <w:r>
        <w:rPr>
          <w:b/>
        </w:rPr>
        <w:t>“</w:t>
      </w:r>
      <w:r>
        <w:rPr>
          <w:b/>
        </w:rPr>
        <w:t xml:space="preserve">Delivery Point” </w:t>
      </w:r>
      <w:r>
        <w:rPr/>
        <w:t xml:space="preserve">means at the Registered Wholesale Meter(s), but only if the Registered Wholesale Meter(s) are the interconnect point on the transmission line connecting the Nuclear Generation Facility to the IMO-Controlled Grid and at which Electricity is delivered from the Nuclear Generation Facility to the IMO-Controlled Grid, and, if the Registered Wholesale Meter(s) are not the interconnect point on the transmission line connecting the Nuclear Generation Facility to the IMO-Controlled Grid and at which Electricity is delivered from the Nuclear Generation Facility to the IMO-Controlled Grid, at such other interconnect point on the transmission line connecting the Nuclear Generation Facility to the IMO-Controlled Grid and at which Electricity is delivered from the Nuclear Generation Facility to the IMO-Controlled Grid regardless of the location of the Registered Wholesale Meter(s). </w:t>
      </w:r>
    </w:p>
    <w:p>
      <w:pPr>
        <w:pStyle w:val="BodyText"/>
        <w:rPr/>
      </w:pPr>
      <w:r>
        <w:rPr>
          <w:b/>
        </w:rPr>
        <w:t>“</w:t>
      </w:r>
      <w:r>
        <w:rPr>
          <w:b/>
        </w:rPr>
        <w:t>Delivery Point Specific Post-LMP Market Price”</w:t>
      </w:r>
      <w:r>
        <w:rPr/>
        <w:t xml:space="preserve"> means the real-time, hourly spot market price for Electricity settlements at the Delivery Point as published by the IMO and effective after the introduction of LMP.  </w:t>
      </w:r>
    </w:p>
    <w:p>
      <w:pPr>
        <w:pStyle w:val="BodyText"/>
        <w:rPr/>
      </w:pPr>
      <w:r>
        <w:rPr>
          <w:b/>
        </w:rPr>
        <w:t>“</w:t>
      </w:r>
      <w:r>
        <w:rPr>
          <w:b/>
        </w:rPr>
        <w:t>Designated Ontario Load Delivery Point”</w:t>
      </w:r>
      <w:r>
        <w:rPr/>
        <w:t xml:space="preserve"> means any Ontario Load Delivery Point under a Buyer’s Contract as designated by Buyer to Seller pursuant to Section 2.9. </w:t>
      </w:r>
    </w:p>
    <w:p>
      <w:pPr>
        <w:pStyle w:val="BodyText"/>
        <w:rPr/>
      </w:pPr>
      <w:r>
        <w:rPr>
          <w:b/>
        </w:rPr>
        <w:t>“</w:t>
      </w:r>
      <w:r>
        <w:rPr>
          <w:b/>
        </w:rPr>
        <w:t>Early Termination Date”</w:t>
      </w:r>
      <w:r>
        <w:rPr/>
        <w:t xml:space="preserve"> has the meaning assigned in Section </w:t>
      </w:r>
      <w:r>
        <w:rPr/>
        <w:fldChar w:fldCharType="begin"/>
      </w:r>
      <w:r>
        <w:rPr/>
        <w:instrText xml:space="preserve"> REF _Ref476624692 \r \r \h </w:instrText>
      </w:r>
      <w:r>
        <w:rPr/>
        <w:fldChar w:fldCharType="separate"/>
      </w:r>
      <w:r>
        <w:rPr/>
        <w:t>(a)</w:t>
      </w:r>
      <w:r>
        <w:rPr/>
        <w:fldChar w:fldCharType="end"/>
      </w:r>
      <w:r>
        <w:rPr/>
        <w:t>.</w:t>
      </w:r>
    </w:p>
    <w:p>
      <w:pPr>
        <w:pStyle w:val="BodyText"/>
        <w:rPr/>
      </w:pPr>
      <w:r>
        <w:rPr>
          <w:b/>
        </w:rPr>
        <w:t>“</w:t>
      </w:r>
      <w:r>
        <w:rPr>
          <w:b/>
        </w:rPr>
        <w:t>Early Termination Payment”</w:t>
      </w:r>
      <w:r>
        <w:rPr/>
        <w:t xml:space="preserve"> has the meaning assigned in Section </w:t>
      </w:r>
      <w:r>
        <w:rPr/>
        <w:fldChar w:fldCharType="begin"/>
      </w:r>
      <w:r>
        <w:rPr/>
        <w:instrText xml:space="preserve"> REF _Ref476624692 \r \r \h </w:instrText>
      </w:r>
      <w:r>
        <w:rPr/>
        <w:fldChar w:fldCharType="separate"/>
      </w:r>
      <w:r>
        <w:rPr/>
        <w:t>(a)</w:t>
      </w:r>
      <w:r>
        <w:rPr/>
        <w:fldChar w:fldCharType="end"/>
      </w:r>
      <w:r>
        <w:rPr/>
        <w:t>.</w:t>
      </w:r>
    </w:p>
    <w:p>
      <w:pPr>
        <w:pStyle w:val="BodyText"/>
        <w:rPr/>
      </w:pPr>
      <w:r>
        <w:rPr>
          <w:b/>
        </w:rPr>
        <w:t>“</w:t>
      </w:r>
      <w:r>
        <w:rPr>
          <w:b/>
        </w:rPr>
        <w:t>Electing Party”</w:t>
      </w:r>
      <w:r>
        <w:rPr/>
        <w:t xml:space="preserve"> has the meaning assigned in Section </w:t>
      </w:r>
      <w:r>
        <w:rPr/>
        <w:fldChar w:fldCharType="begin"/>
      </w:r>
      <w:r>
        <w:rPr/>
        <w:instrText xml:space="preserve"> REF _Ref479034877 \r \r \h </w:instrText>
      </w:r>
      <w:r>
        <w:rPr/>
        <w:fldChar w:fldCharType="separate"/>
      </w:r>
      <w:r>
        <w:rPr/>
        <w:t>3.2</w:t>
      </w:r>
      <w:r>
        <w:rPr/>
        <w:fldChar w:fldCharType="end"/>
      </w:r>
      <w:r>
        <w:rPr/>
        <w:t>.</w:t>
      </w:r>
    </w:p>
    <w:p>
      <w:pPr>
        <w:pStyle w:val="BodyText"/>
        <w:rPr/>
      </w:pPr>
      <w:r>
        <w:rPr>
          <w:b/>
        </w:rPr>
        <w:t>“</w:t>
      </w:r>
      <w:r>
        <w:rPr>
          <w:b/>
        </w:rPr>
        <w:t xml:space="preserve">Electricity” </w:t>
      </w:r>
      <w:r>
        <w:rPr/>
        <w:t>means electrical energy expressed in MW or MWh, as applicable.</w:t>
      </w:r>
    </w:p>
    <w:p>
      <w:pPr>
        <w:pStyle w:val="BodyText"/>
        <w:rPr/>
      </w:pPr>
      <w:r>
        <w:rPr>
          <w:b/>
        </w:rPr>
        <w:t>“</w:t>
      </w:r>
      <w:r>
        <w:rPr>
          <w:b/>
          <w:i/>
        </w:rPr>
        <w:t>Electricity Act</w:t>
      </w:r>
      <w:r>
        <w:rPr>
          <w:b/>
        </w:rPr>
        <w:t xml:space="preserve"> (Ontario)”</w:t>
      </w:r>
      <w:r>
        <w:rPr/>
        <w:t xml:space="preserve"> means the </w:t>
      </w:r>
      <w:r>
        <w:rPr>
          <w:i/>
        </w:rPr>
        <w:t>Electricity Act,</w:t>
      </w:r>
      <w:r>
        <w:rPr/>
        <w:t xml:space="preserve"> S.O. 1998, c. 15, as amended, restated, replaced or otherwise modified from time to time.</w:t>
      </w:r>
    </w:p>
    <w:p>
      <w:pPr>
        <w:pStyle w:val="BodyText"/>
        <w:rPr/>
      </w:pPr>
      <w:r>
        <w:rPr>
          <w:b/>
        </w:rPr>
        <w:t>“</w:t>
      </w:r>
      <w:r>
        <w:rPr>
          <w:b/>
        </w:rPr>
        <w:t>EPT”</w:t>
      </w:r>
      <w:r>
        <w:rPr/>
        <w:t xml:space="preserve"> means Eastern Prevailing Time, being the prevailing local time in the North American eastern time zone.</w:t>
      </w:r>
    </w:p>
    <w:p>
      <w:pPr>
        <w:pStyle w:val="BodyText"/>
        <w:rPr/>
      </w:pPr>
      <w:r>
        <w:rPr>
          <w:b/>
        </w:rPr>
        <w:t>“</w:t>
      </w:r>
      <w:r>
        <w:rPr>
          <w:b/>
        </w:rPr>
        <w:t>Event of Default”</w:t>
      </w:r>
      <w:r>
        <w:rPr/>
        <w:t xml:space="preserve"> has the meaning assigned in Section </w:t>
      </w:r>
      <w:r>
        <w:rPr/>
        <w:fldChar w:fldCharType="begin"/>
      </w:r>
      <w:r>
        <w:rPr/>
        <w:instrText xml:space="preserve"> REF _Ref471213891 \r \r \h </w:instrText>
      </w:r>
      <w:r>
        <w:rPr/>
        <w:fldChar w:fldCharType="separate"/>
      </w:r>
      <w:r>
        <w:rPr/>
        <w:t>7.1</w:t>
      </w:r>
      <w:r>
        <w:rPr/>
        <w:fldChar w:fldCharType="end"/>
      </w:r>
      <w:r>
        <w:rPr/>
        <w:t>.</w:t>
      </w:r>
    </w:p>
    <w:p>
      <w:pPr>
        <w:pStyle w:val="BodyText"/>
        <w:rPr/>
      </w:pPr>
      <w:r>
        <w:rPr>
          <w:b/>
        </w:rPr>
        <w:t>“</w:t>
      </w:r>
      <w:r>
        <w:rPr>
          <w:b/>
        </w:rPr>
        <w:t xml:space="preserve">Event of Force Majeure” </w:t>
      </w:r>
      <w:r>
        <w:rPr/>
        <w:t>means only a Specified Event of Force Majeure, provided any Specified Event of Force Majeure is not caused by the default or neglect of the Claiming Party, cannot reasonably be anticipated by, and is not within the reasonable control of, the Claiming Party, the occurrence and continued consequences of which cannot be reasonably overcome by the exercise of due diligence by the Claiming Party.  For certainty, Events of Force Majeure shall not include: (a) other than a Buyer’s Contracted Force Majeure Event, loss of Buyer’s markets or its ability to economically use or sell all or part of the Hourly Contract Quantity; (b) Seller’s ability to sell all or part of the Hourly Contract Quantity on more advantageous terms; nor (c) in each case as they affect the Nuclear Generation Facility: (i) any maintenance or outages other than Unanticipated Maintenance or Outages Arising as a Result of Certain Specified Events of Force Majeure, or (ii) strikes or other labour disruptions or disputes.</w:t>
      </w:r>
    </w:p>
    <w:p>
      <w:pPr>
        <w:pStyle w:val="BodyText"/>
        <w:rPr/>
      </w:pPr>
      <w:r>
        <w:rPr>
          <w:b/>
        </w:rPr>
        <w:t>“</w:t>
      </w:r>
      <w:r>
        <w:rPr>
          <w:b/>
          <w:i/>
        </w:rPr>
        <w:t>Excise Tax Act</w:t>
      </w:r>
      <w:r>
        <w:rPr>
          <w:b/>
        </w:rPr>
        <w:t xml:space="preserve"> (Canada)”</w:t>
      </w:r>
      <w:r>
        <w:rPr/>
        <w:t xml:space="preserve"> means the </w:t>
      </w:r>
      <w:r>
        <w:rPr>
          <w:i/>
        </w:rPr>
        <w:t>Excise Tax Act,</w:t>
      </w:r>
      <w:r>
        <w:rPr/>
        <w:t xml:space="preserve"> R.S.C. 1985, c. E-15, as amended, restated, replaced or otherwise modified from time to time.</w:t>
      </w:r>
    </w:p>
    <w:p>
      <w:pPr>
        <w:pStyle w:val="BodyText"/>
        <w:rPr/>
      </w:pPr>
      <w:r>
        <w:rPr>
          <w:b/>
        </w:rPr>
        <w:t>“</w:t>
      </w:r>
      <w:r>
        <w:rPr>
          <w:b/>
        </w:rPr>
        <w:t>Exhibit”</w:t>
      </w:r>
      <w:r>
        <w:rPr/>
        <w:t xml:space="preserve"> means the Exhibits to this Agreement, which are:</w:t>
      </w:r>
    </w:p>
    <w:p>
      <w:pPr>
        <w:pStyle w:val="BodyText"/>
        <w:rPr/>
      </w:pPr>
      <w:r>
        <w:rPr/>
        <w:tab/>
        <w:t>(a)</w:t>
        <w:tab/>
        <w:t>Exhibit “A” – Guarantee Agreement of Buyer’s Guarantor - 6 pages; and</w:t>
      </w:r>
    </w:p>
    <w:p>
      <w:pPr>
        <w:pStyle w:val="BodyText"/>
        <w:rPr/>
      </w:pPr>
      <w:r>
        <w:rPr/>
        <w:tab/>
        <w:t xml:space="preserve">(b) </w:t>
        <w:tab/>
        <w:t>Exhibit “B” – Guarantee Agreement of Seller’s Guarantor - 6 pages.</w:t>
      </w:r>
    </w:p>
    <w:p>
      <w:pPr>
        <w:pStyle w:val="BodyText"/>
        <w:rPr/>
      </w:pPr>
      <w:r>
        <w:rPr>
          <w:b/>
        </w:rPr>
        <w:t>“</w:t>
      </w:r>
      <w:r>
        <w:rPr>
          <w:b/>
        </w:rPr>
        <w:t>Final Statement”</w:t>
      </w:r>
      <w:r>
        <w:rPr/>
        <w:t xml:space="preserve"> has the meaning assigned in Section </w:t>
      </w:r>
      <w:r>
        <w:rPr/>
        <w:fldChar w:fldCharType="begin"/>
      </w:r>
      <w:r>
        <w:rPr/>
        <w:instrText xml:space="preserve"> REF _Ref470592415 \r \r \h </w:instrText>
      </w:r>
      <w:r>
        <w:rPr/>
        <w:fldChar w:fldCharType="separate"/>
      </w:r>
      <w:r>
        <w:rPr/>
        <w:t>4.3</w:t>
      </w:r>
      <w:r>
        <w:rPr/>
        <w:fldChar w:fldCharType="end"/>
      </w:r>
      <w:r>
        <w:rPr/>
        <w:t>.</w:t>
      </w:r>
    </w:p>
    <w:p>
      <w:pPr>
        <w:pStyle w:val="BodyText"/>
        <w:rPr>
          <w:b/>
        </w:rPr>
      </w:pPr>
      <w:r>
        <w:rPr>
          <w:b/>
        </w:rPr>
        <w:t>“</w:t>
      </w:r>
      <w:r>
        <w:rPr>
          <w:b/>
        </w:rPr>
        <w:t>Financial Transmission Rights”</w:t>
      </w:r>
      <w:r>
        <w:rPr/>
        <w:t xml:space="preserve"> or </w:t>
      </w:r>
      <w:r>
        <w:rPr>
          <w:b/>
        </w:rPr>
        <w:t xml:space="preserve">“FTRs” </w:t>
      </w:r>
      <w:r>
        <w:rPr/>
        <w:t xml:space="preserve">means, as applicable after the introduction of LMP, any financial or firm transmission rights, or transmission loss or congestion contracts, or similar instruments which are available to be purchased from any Person (whether by auction or otherwise under the Market Rules, from the IMO or from any other Person in any primary or secondary market, or otherwise) and which are satisfactory to Buyer to hedge or otherwise mitigate hourly spot price differentials and/or transmission congestion and/or loss adjustments between the Delivery Point and any Designated Ontario Load Delivery Point.  </w:t>
      </w:r>
    </w:p>
    <w:p>
      <w:pPr>
        <w:pStyle w:val="BodyText"/>
        <w:rPr/>
      </w:pPr>
      <w:r>
        <w:rPr>
          <w:b/>
        </w:rPr>
        <w:t>“</w:t>
      </w:r>
      <w:r>
        <w:rPr>
          <w:b/>
        </w:rPr>
        <w:t>Firm”</w:t>
      </w:r>
      <w:r>
        <w:rPr/>
        <w:t xml:space="preserve"> means that the only excuse for non-performance or non-observance by a Party of its obligations under this Agreement is as a result of an Event of Force Majeure on the terms provided for by </w:t>
      </w:r>
      <w:r>
        <w:rPr/>
        <w:fldChar w:fldCharType="begin"/>
      </w:r>
      <w:r>
        <w:rPr/>
        <w:instrText xml:space="preserve"> REF _Ref470443289 \r \r \h </w:instrText>
      </w:r>
      <w:r>
        <w:rPr/>
        <w:fldChar w:fldCharType="separate"/>
      </w:r>
      <w:r>
        <w:rPr/>
        <w:t>Article 11</w:t>
      </w:r>
      <w:r>
        <w:rPr/>
        <w:fldChar w:fldCharType="end"/>
      </w:r>
      <w:r>
        <w:rPr/>
        <w:t>.</w:t>
      </w:r>
    </w:p>
    <w:p>
      <w:pPr>
        <w:pStyle w:val="BodyText"/>
        <w:rPr/>
      </w:pPr>
      <w:r>
        <w:rPr>
          <w:b/>
        </w:rPr>
        <w:t>“</w:t>
      </w:r>
      <w:r>
        <w:rPr>
          <w:b/>
        </w:rPr>
        <w:t>Gains”</w:t>
      </w:r>
      <w:r>
        <w:rPr/>
        <w:t xml:space="preserve"> has the meaning assigned in Section </w:t>
      </w:r>
      <w:r>
        <w:rPr/>
        <w:fldChar w:fldCharType="begin"/>
      </w:r>
      <w:r>
        <w:rPr/>
        <w:instrText xml:space="preserve"> REF _Ref476625062 \r \r \h </w:instrText>
      </w:r>
      <w:r>
        <w:rPr/>
        <w:fldChar w:fldCharType="separate"/>
      </w:r>
      <w:r>
        <w:rPr/>
        <w:t>Article 7(ii)</w:t>
      </w:r>
      <w:r>
        <w:rPr/>
        <w:fldChar w:fldCharType="end"/>
      </w:r>
      <w:r>
        <w:rPr/>
        <w:t>.</w:t>
      </w:r>
    </w:p>
    <w:p>
      <w:pPr>
        <w:pStyle w:val="BodyText"/>
        <w:rPr/>
      </w:pPr>
      <w:r>
        <w:rPr>
          <w:b/>
        </w:rPr>
        <w:t>“</w:t>
      </w:r>
      <w:r>
        <w:rPr>
          <w:b/>
        </w:rPr>
        <w:t xml:space="preserve">Good Electric Operating Practice” </w:t>
      </w:r>
      <w:r>
        <w:rPr/>
        <w:t>means the practices, methods and activities approved or utilized as good operating practices by a significant portion of the nuclear electric energy generation industry doing business in North America (including, any operating standards imposed by any Person having jurisdiction over the operation of the Nuclear Generation Facility, and the practices, methods and acts which, in the exercise of reasonable judgement in light of the facts known at the time a decision is made, could have been expected to accomplish the desired result consistent with reliability, safety and expedition, and the requirements of governmental agencies and entities having jurisdiction).  Such standard is not intended to be limited to the optimum practice, method or act to the exclusion of all others, but rather to constitute a spectrum of acceptable practices within a significant portion of the nuclear electric generation industry doing business in North America, methods or acts reasonably expected to accomplish the desired result.  Practices, methods or actions that limit access to transmission based on nonreliability-based criteria or that needlessly limit access to transmission are not within this definition.</w:t>
      </w:r>
    </w:p>
    <w:p>
      <w:pPr>
        <w:pStyle w:val="BodyText"/>
        <w:rPr/>
      </w:pPr>
      <w:r>
        <w:rPr>
          <w:b/>
        </w:rPr>
        <w:t>“</w:t>
      </w:r>
      <w:r>
        <w:rPr>
          <w:b/>
        </w:rPr>
        <w:t>GST”</w:t>
      </w:r>
      <w:r>
        <w:rPr/>
        <w:t xml:space="preserve"> means the federal Goods and Services Tax applicable under the </w:t>
      </w:r>
      <w:r>
        <w:rPr>
          <w:i/>
        </w:rPr>
        <w:t xml:space="preserve">Excise Tax Act </w:t>
      </w:r>
      <w:r>
        <w:rPr/>
        <w:t>(Canada).</w:t>
      </w:r>
    </w:p>
    <w:p>
      <w:pPr>
        <w:pStyle w:val="BodyText"/>
        <w:rPr/>
      </w:pPr>
      <w:r>
        <w:rPr>
          <w:b/>
        </w:rPr>
        <w:t>“</w:t>
      </w:r>
      <w:r>
        <w:rPr>
          <w:b/>
        </w:rPr>
        <w:t>Guarantee Agreement”</w:t>
      </w:r>
      <w:r>
        <w:rPr/>
        <w:t xml:space="preserve"> means, with respect to Buyer’s Guarantor, a Guarantee Agreement in the form attached as Exhibit “A”, and, with respect to Seller’s Guarantor, a Guarantee Agreement in the form attached as Exhibit “B”.</w:t>
      </w:r>
    </w:p>
    <w:p>
      <w:pPr>
        <w:pStyle w:val="BodyText"/>
        <w:rPr/>
      </w:pPr>
      <w:r>
        <w:rPr>
          <w:b/>
        </w:rPr>
        <w:t>“</w:t>
      </w:r>
      <w:r>
        <w:rPr>
          <w:b/>
        </w:rPr>
        <w:t>HE”</w:t>
      </w:r>
      <w:r>
        <w:rPr/>
        <w:t xml:space="preserve"> means each of the 24-one-hour periods (as designated by the hour ending of each such one-hour period) of every day throughout the Term, starting with HE 01:00, EPT, and through to HE 24:00, EPT.</w:t>
      </w:r>
    </w:p>
    <w:p>
      <w:pPr>
        <w:pStyle w:val="BodyText"/>
        <w:rPr/>
      </w:pPr>
      <w:r>
        <w:rPr>
          <w:b/>
        </w:rPr>
        <w:t>“</w:t>
      </w:r>
      <w:r>
        <w:rPr>
          <w:b/>
        </w:rPr>
        <w:t>Hourly Contract Quantity”</w:t>
      </w:r>
      <w:r>
        <w:rPr/>
        <w:t xml:space="preserve"> means, for each HE of the Term, 500 MW of Electricity, at a 100% load factor.</w:t>
      </w:r>
    </w:p>
    <w:p>
      <w:pPr>
        <w:pStyle w:val="BodyText"/>
        <w:rPr/>
      </w:pPr>
      <w:r>
        <w:rPr>
          <w:b/>
        </w:rPr>
        <w:t>“</w:t>
      </w:r>
      <w:r>
        <w:rPr>
          <w:b/>
        </w:rPr>
        <w:t>IMO”</w:t>
      </w:r>
      <w:r>
        <w:rPr/>
        <w:t xml:space="preserve"> means the Independent Electricity Market Operator defined as the “IMO” under the </w:t>
      </w:r>
      <w:r>
        <w:rPr>
          <w:i/>
        </w:rPr>
        <w:t>Electricity Act</w:t>
      </w:r>
      <w:r>
        <w:rPr/>
        <w:t xml:space="preserve"> (Ontario) or its successor or other Person of competent authority exercising any of the same functions as the IMO from time to time during the Term.</w:t>
      </w:r>
    </w:p>
    <w:p>
      <w:pPr>
        <w:pStyle w:val="BodyText"/>
        <w:rPr/>
      </w:pPr>
      <w:r>
        <w:rPr>
          <w:b/>
        </w:rPr>
        <w:t>“</w:t>
      </w:r>
      <w:r>
        <w:rPr>
          <w:b/>
        </w:rPr>
        <w:t>IMO-Controlled Grid”</w:t>
      </w:r>
      <w:r>
        <w:rPr/>
        <w:t xml:space="preserve"> means the transmission systems with respect to which the IMO has authority to direct operations defined as the “IMO-controlled grid” under the </w:t>
      </w:r>
      <w:r>
        <w:rPr>
          <w:i/>
        </w:rPr>
        <w:t>Electricity Act</w:t>
      </w:r>
      <w:r>
        <w:rPr/>
        <w:t xml:space="preserve"> (Ontario).</w:t>
      </w:r>
    </w:p>
    <w:p>
      <w:pPr>
        <w:pStyle w:val="BodyText"/>
        <w:rPr/>
      </w:pPr>
      <w:r>
        <w:rPr>
          <w:b/>
        </w:rPr>
        <w:t>“</w:t>
      </w:r>
      <w:r>
        <w:rPr>
          <w:b/>
        </w:rPr>
        <w:t xml:space="preserve">Interest Rate” </w:t>
      </w:r>
      <w:r>
        <w:rPr/>
        <w:t>means a rate of interest equal to the lower of (a) the variable, per annum prime rate of interest on Canadian dollar corporate loans of the Royal Bank of Canada commonly known as its “Prime Rate”, plus 2% or (b) the maximum lawful rate of interest under applicable law.</w:t>
      </w:r>
    </w:p>
    <w:p>
      <w:pPr>
        <w:pStyle w:val="BodyText"/>
        <w:rPr/>
      </w:pPr>
      <w:r>
        <w:rPr>
          <w:b/>
        </w:rPr>
        <w:t>“</w:t>
      </w:r>
      <w:r>
        <w:rPr>
          <w:b/>
        </w:rPr>
        <w:t>LMP Election Notice”</w:t>
      </w:r>
      <w:r>
        <w:rPr/>
        <w:t xml:space="preserve"> has the meaning assigned in Section </w:t>
      </w:r>
      <w:r>
        <w:rPr/>
        <w:fldChar w:fldCharType="begin"/>
      </w:r>
      <w:r>
        <w:rPr/>
        <w:instrText xml:space="preserve"> REF _Ref476625107 \r \r \h </w:instrText>
      </w:r>
      <w:r>
        <w:rPr/>
        <w:fldChar w:fldCharType="separate"/>
      </w:r>
      <w:r>
        <w:rPr/>
        <w:t>3.1</w:t>
      </w:r>
      <w:r>
        <w:rPr/>
        <w:fldChar w:fldCharType="end"/>
      </w:r>
      <w:r>
        <w:rPr/>
        <w:t>.</w:t>
      </w:r>
    </w:p>
    <w:p>
      <w:pPr>
        <w:pStyle w:val="Justified"/>
        <w:spacing w:before="0" w:after="240"/>
        <w:rPr/>
      </w:pPr>
      <w:r>
        <w:rPr>
          <w:b/>
          <w:sz w:val="24"/>
        </w:rPr>
        <w:t>“</w:t>
      </w:r>
      <w:r>
        <w:rPr>
          <w:b/>
          <w:sz w:val="24"/>
        </w:rPr>
        <w:t>Letter of Credit”</w:t>
      </w:r>
      <w:r>
        <w:rPr>
          <w:sz w:val="24"/>
        </w:rPr>
        <w:t xml:space="preserve"> means one or more irrevocable, renewable, transferable (in connection with an assignment of this Agreement permitted pursuant to Article 12), standby letters of credit governed by the Uniform Customs and Practices for Documentary Credits (1993 Revision) (or successors) from a Schedule I Chartered Bank under the </w:t>
      </w:r>
      <w:r>
        <w:rPr>
          <w:i/>
          <w:sz w:val="24"/>
        </w:rPr>
        <w:t>Bank Act</w:t>
      </w:r>
      <w:r>
        <w:rPr>
          <w:sz w:val="24"/>
        </w:rPr>
        <w:t xml:space="preserve"> (Canada) having a credit rating of at least “A-” from S&amp;P or “A3” from Moody's and which contains terms acceptable to the benefiting Party, and having regard to the amount and tenor of the obligations being collateralized, and which is conditional for drawing only on presentation of (a) the Letter of Credit, (b) a sight draft with respect to the Letter of Credit, and (c) a statement from an authorized officer of the benefiting Party that the benefiting Party is entitled to draw under the Letter of Credit pursuant to this Agreement.</w:t>
      </w:r>
    </w:p>
    <w:p>
      <w:pPr>
        <w:pStyle w:val="Heading2"/>
        <w:keepNext w:val="false"/>
        <w:spacing w:before="0" w:after="240"/>
        <w:ind w:hanging="0" w:start="0"/>
        <w:jc w:val="both"/>
        <w:rPr/>
      </w:pPr>
      <w:r>
        <w:rPr>
          <w:i w:val="false"/>
        </w:rPr>
        <w:t>“</w:t>
      </w:r>
      <w:r>
        <w:rPr>
          <w:i w:val="false"/>
        </w:rPr>
        <w:t>Locational Marginal Pricing”</w:t>
      </w:r>
      <w:r>
        <w:rPr>
          <w:b w:val="false"/>
          <w:i w:val="false"/>
        </w:rPr>
        <w:t xml:space="preserve"> or </w:t>
      </w:r>
      <w:r>
        <w:rPr>
          <w:i w:val="false"/>
        </w:rPr>
        <w:t>“LMP”</w:t>
      </w:r>
      <w:r>
        <w:rPr>
          <w:b w:val="false"/>
          <w:i w:val="false"/>
        </w:rPr>
        <w:t xml:space="preserve"> means an IMO-administered real-time, hourly spot market pricing mechanism for Electricity purchased and sold in the Province of Ontario (but excluding the intertie zones outside the Province of Ontario and beyond any point of interconnection between the IMO-Controlled Grid and an interconnected transmission system for which the IMO determines prices for Electricity in the real-time market) where, or having the effect that, the real-time same hourly spot market prices for Electricity are not uniformly applied at every delivery point node, zone or other reference point applicable to the purchase and sale of Electricity in the IMO-administered real-time spot market, and where, or having the effect that, such real-time hourly spot market prices for Electricity reflect the effects of transmission congestion, and whether such real-time hourly spot market prices for Electricity exclude or include the effects of transmission losses.</w:t>
      </w:r>
    </w:p>
    <w:p>
      <w:pPr>
        <w:pStyle w:val="Heading2"/>
        <w:keepNext w:val="false"/>
        <w:spacing w:before="0" w:after="240"/>
        <w:ind w:hanging="0" w:start="0"/>
        <w:jc w:val="both"/>
        <w:rPr/>
      </w:pPr>
      <w:r>
        <w:rPr>
          <w:i w:val="false"/>
        </w:rPr>
        <w:t>“</w:t>
      </w:r>
      <w:r>
        <w:rPr>
          <w:i w:val="false"/>
        </w:rPr>
        <w:t>Losses”</w:t>
      </w:r>
      <w:r>
        <w:rPr>
          <w:b w:val="false"/>
          <w:i w:val="false"/>
        </w:rPr>
        <w:t xml:space="preserve"> has the meaning assigned in Section </w:t>
      </w:r>
      <w:r>
        <w:rPr>
          <w:b w:val="false"/>
          <w:i w:val="false"/>
        </w:rPr>
        <w:fldChar w:fldCharType="begin"/>
      </w:r>
      <w:r>
        <w:rPr>
          <w:i w:val="false"/>
          <w:b w:val="false"/>
        </w:rPr>
        <w:instrText xml:space="preserve"> REF _Ref476625128 \r \r \h </w:instrText>
      </w:r>
      <w:r>
        <w:rPr>
          <w:i w:val="false"/>
          <w:b w:val="false"/>
        </w:rPr>
        <w:fldChar w:fldCharType="separate"/>
      </w:r>
      <w:r>
        <w:rPr>
          <w:i w:val="false"/>
          <w:b w:val="false"/>
        </w:rPr>
        <w:t>Article 7(iii)</w:t>
      </w:r>
      <w:r>
        <w:rPr>
          <w:i w:val="false"/>
          <w:b w:val="false"/>
        </w:rPr>
        <w:fldChar w:fldCharType="end"/>
      </w:r>
      <w:r>
        <w:rPr>
          <w:b w:val="false"/>
          <w:i w:val="false"/>
        </w:rPr>
        <w:t>.</w:t>
      </w:r>
    </w:p>
    <w:p>
      <w:pPr>
        <w:pStyle w:val="BodyText"/>
        <w:rPr>
          <w:b/>
        </w:rPr>
      </w:pPr>
      <w:r>
        <w:rPr>
          <w:b/>
        </w:rPr>
        <w:t>“</w:t>
      </w:r>
      <w:r>
        <w:rPr>
          <w:b/>
        </w:rPr>
        <w:t>Market Opening”</w:t>
      </w:r>
      <w:r>
        <w:rPr/>
        <w:t xml:space="preserve"> means the date as of which there is in force, in the Province of Ontario, Market Rules (including transmission tariffs, licenses and codes) which provide for the following:  (a) the provision of open non-discriminatory access in the Province of Ontario to the IMO-Controlled Grid; (b) the right of choice of electricity suppliers for those Persons who are currently direct customers of Ontario Power Generation Inc. and other wholesale purchasers in the Province of Ontario; and (c) the existence of a Pre-LMP Market Price.   </w:t>
      </w:r>
    </w:p>
    <w:p>
      <w:pPr>
        <w:pStyle w:val="BodyText"/>
        <w:rPr/>
      </w:pPr>
      <w:r>
        <w:rPr>
          <w:b/>
        </w:rPr>
        <w:t>“</w:t>
      </w:r>
      <w:r>
        <w:rPr>
          <w:b/>
        </w:rPr>
        <w:t>Market Rules”</w:t>
      </w:r>
      <w:r>
        <w:rPr/>
        <w:t xml:space="preserve"> means (as amended, restated, replaced or otherwise modified from time to time) the market rules applicable after Market Opening to be administered by the IMO pursuant to Section 32 of the </w:t>
      </w:r>
      <w:r>
        <w:rPr>
          <w:i/>
        </w:rPr>
        <w:t>Electricity Act</w:t>
      </w:r>
      <w:r>
        <w:rPr/>
        <w:t xml:space="preserve"> (Ontario).  </w:t>
      </w:r>
    </w:p>
    <w:p>
      <w:pPr>
        <w:pStyle w:val="Justified"/>
        <w:spacing w:before="0" w:after="240"/>
        <w:rPr/>
      </w:pPr>
      <w:r>
        <w:rPr>
          <w:b/>
          <w:sz w:val="24"/>
        </w:rPr>
        <w:t>“</w:t>
      </w:r>
      <w:r>
        <w:rPr>
          <w:b/>
          <w:sz w:val="24"/>
        </w:rPr>
        <w:t>Material Adverse Change”</w:t>
      </w:r>
      <w:r>
        <w:rPr>
          <w:sz w:val="24"/>
        </w:rPr>
        <w:t xml:space="preserve"> means (a) with respect to Seller, Seller’s Guarantor shall have long-term, senior, unsecured debt not supported by third party credit enhancement that is (i) rated by S&amp;P below “BBB-” and by Moody’s below “Baa3”, or (ii) not rated by S&amp;P and Moody’s (or which S&amp;P and Moody’s refuses to rate), and (b) with respect to Buyer, Buyer’s Guarantor shall have long-term, senior, unsecured debt not supported by third party credit enhancement that is (i) rated by S&amp;P below “BBB-” and by Moody’s below “Baa3”, or (ii) not rated by S&amp;P and Moody’s (or which S&amp;P and Moody’s refuses to rate).</w:t>
      </w:r>
    </w:p>
    <w:p>
      <w:pPr>
        <w:pStyle w:val="BodyText"/>
        <w:rPr/>
      </w:pPr>
      <w:r>
        <w:rPr>
          <w:b/>
        </w:rPr>
        <w:t>“</w:t>
      </w:r>
      <w:r>
        <w:rPr>
          <w:b/>
        </w:rPr>
        <w:t>Moody's”</w:t>
      </w:r>
      <w:r>
        <w:rPr/>
        <w:t xml:space="preserve"> means Moody's Investor Services, Inc. or its successor.</w:t>
      </w:r>
    </w:p>
    <w:p>
      <w:pPr>
        <w:pStyle w:val="BodyText"/>
        <w:rPr/>
      </w:pPr>
      <w:r>
        <w:rPr>
          <w:b/>
        </w:rPr>
        <w:t>“</w:t>
      </w:r>
      <w:r>
        <w:rPr>
          <w:b/>
        </w:rPr>
        <w:t>Mutual Condition Precedent”</w:t>
      </w:r>
      <w:r>
        <w:rPr/>
        <w:t xml:space="preserve"> means, on or before May 31, 2001, Market Opening shall have occurred.  </w:t>
      </w:r>
    </w:p>
    <w:p>
      <w:pPr>
        <w:pStyle w:val="BodyText"/>
        <w:rPr/>
      </w:pPr>
      <w:r>
        <w:rPr>
          <w:b/>
        </w:rPr>
        <w:t>“</w:t>
      </w:r>
      <w:r>
        <w:rPr>
          <w:b/>
        </w:rPr>
        <w:t>MW”</w:t>
      </w:r>
      <w:r>
        <w:rPr/>
        <w:t xml:space="preserve"> means megaWatt(s).</w:t>
      </w:r>
    </w:p>
    <w:p>
      <w:pPr>
        <w:pStyle w:val="BodyText"/>
        <w:rPr/>
      </w:pPr>
      <w:r>
        <w:rPr>
          <w:b/>
        </w:rPr>
        <w:t>“</w:t>
      </w:r>
      <w:r>
        <w:rPr>
          <w:b/>
        </w:rPr>
        <w:t>MWh”</w:t>
      </w:r>
      <w:r>
        <w:rPr/>
        <w:t xml:space="preserve"> means megaWatt hour(s).</w:t>
      </w:r>
    </w:p>
    <w:p>
      <w:pPr>
        <w:pStyle w:val="BodyText"/>
        <w:rPr/>
      </w:pPr>
      <w:r>
        <w:rPr>
          <w:b/>
        </w:rPr>
        <w:t>“</w:t>
      </w:r>
      <w:r>
        <w:rPr>
          <w:b/>
        </w:rPr>
        <w:t>Non-Defaulting Party”</w:t>
      </w:r>
      <w:r>
        <w:rPr/>
        <w:t xml:space="preserve"> has the meaning assigned in Section </w:t>
      </w:r>
      <w:r>
        <w:rPr/>
        <w:fldChar w:fldCharType="begin"/>
      </w:r>
      <w:r>
        <w:rPr/>
        <w:instrText xml:space="preserve"> REF _Ref476625156 \r \r \h </w:instrText>
      </w:r>
      <w:r>
        <w:rPr/>
        <w:fldChar w:fldCharType="separate"/>
      </w:r>
      <w:r>
        <w:rPr/>
        <w:t>(a)</w:t>
      </w:r>
      <w:r>
        <w:rPr/>
        <w:fldChar w:fldCharType="end"/>
      </w:r>
      <w:r>
        <w:rPr/>
        <w:t>.</w:t>
      </w:r>
    </w:p>
    <w:p>
      <w:pPr>
        <w:pStyle w:val="BodyText"/>
        <w:rPr/>
      </w:pPr>
      <w:r>
        <w:rPr>
          <w:b/>
        </w:rPr>
        <w:t>“</w:t>
      </w:r>
      <w:r>
        <w:rPr>
          <w:b/>
        </w:rPr>
        <w:t>Non-Electing Party”</w:t>
      </w:r>
      <w:r>
        <w:rPr/>
        <w:t xml:space="preserve"> has the meaning assigned in Section </w:t>
      </w:r>
      <w:r>
        <w:rPr/>
        <w:fldChar w:fldCharType="begin"/>
      </w:r>
      <w:r>
        <w:rPr/>
        <w:instrText xml:space="preserve"> REF _Ref476625171 \r \r \h </w:instrText>
      </w:r>
      <w:r>
        <w:rPr/>
        <w:fldChar w:fldCharType="separate"/>
      </w:r>
      <w:r>
        <w:rPr/>
        <w:t>(b)</w:t>
      </w:r>
      <w:r>
        <w:rPr/>
        <w:fldChar w:fldCharType="end"/>
      </w:r>
      <w:r>
        <w:rPr/>
        <w:t>.</w:t>
      </w:r>
    </w:p>
    <w:p>
      <w:pPr>
        <w:pStyle w:val="BodyText"/>
        <w:rPr/>
      </w:pPr>
      <w:r>
        <w:rPr>
          <w:b/>
        </w:rPr>
        <w:t>“</w:t>
      </w:r>
      <w:r>
        <w:rPr>
          <w:b/>
        </w:rPr>
        <w:t>Notice Termination Date”</w:t>
      </w:r>
      <w:r>
        <w:rPr/>
        <w:t xml:space="preserve"> has the meaning assigned in Section </w:t>
      </w:r>
      <w:r>
        <w:rPr/>
        <w:fldChar w:fldCharType="begin"/>
      </w:r>
      <w:r>
        <w:rPr/>
        <w:instrText xml:space="preserve"> REF _Ref476625185 \r \r \h </w:instrText>
      </w:r>
      <w:r>
        <w:rPr/>
        <w:fldChar w:fldCharType="separate"/>
      </w:r>
      <w:r>
        <w:rPr/>
        <w:t>3.2</w:t>
      </w:r>
      <w:r>
        <w:rPr/>
        <w:fldChar w:fldCharType="end"/>
      </w:r>
      <w:r>
        <w:rPr/>
        <w:t>.</w:t>
      </w:r>
    </w:p>
    <w:p>
      <w:pPr>
        <w:pStyle w:val="BodyText"/>
        <w:rPr/>
      </w:pPr>
      <w:r>
        <w:rPr>
          <w:b/>
        </w:rPr>
        <w:t>“</w:t>
      </w:r>
      <w:r>
        <w:rPr>
          <w:b/>
        </w:rPr>
        <w:t>Nuclear Generation Facility”</w:t>
      </w:r>
      <w:r>
        <w:rPr/>
        <w:t xml:space="preserve"> means the nuclear generation facility (including all power stations; generation, transmission and auxiliary equipment and facilities; and all related works and undertakings) located near Lake Huron, Ontario, commonly known as the Bruce “A” and Bruce “B” Nuclear Power Generation Facility operated by Ontario Power Generation Inc. as of the date of this Agreement.</w:t>
      </w:r>
    </w:p>
    <w:p>
      <w:pPr>
        <w:pStyle w:val="BodyText"/>
        <w:rPr/>
      </w:pPr>
      <w:r>
        <w:rPr>
          <w:b/>
        </w:rPr>
        <w:t>“</w:t>
      </w:r>
      <w:r>
        <w:rPr>
          <w:b/>
          <w:i/>
        </w:rPr>
        <w:t>Ontario Energy Board Act</w:t>
      </w:r>
      <w:r>
        <w:rPr>
          <w:b/>
        </w:rPr>
        <w:t xml:space="preserve"> (Ontario)”</w:t>
      </w:r>
      <w:r>
        <w:rPr/>
        <w:t xml:space="preserve"> means the </w:t>
      </w:r>
      <w:r>
        <w:rPr>
          <w:i/>
        </w:rPr>
        <w:t xml:space="preserve">Ontario Energy Board Act, </w:t>
      </w:r>
      <w:r>
        <w:rPr/>
        <w:t>S.O. 1998, c. 15, as amended, restated, replaced or otherwise modified from time to time.</w:t>
      </w:r>
    </w:p>
    <w:p>
      <w:pPr>
        <w:pStyle w:val="BodyText"/>
        <w:rPr>
          <w:b/>
        </w:rPr>
      </w:pPr>
      <w:r>
        <w:rPr>
          <w:b/>
        </w:rPr>
        <w:t>“</w:t>
      </w:r>
      <w:r>
        <w:rPr>
          <w:b/>
        </w:rPr>
        <w:t>Ontario Load Delivery Point”</w:t>
      </w:r>
      <w:r>
        <w:rPr/>
        <w:t xml:space="preserve"> means a delivery point (including any node, zone, reference point, or any other point at which the Market Rules permit delivery of Electricity, and further including, for certainty, any point up to and including the point of interconnection between the IMO-Controlled Grid and an interconnected transmission system, but excluding any node, zone or reference point outside the Province of Ontario beyond any such point of interconnection) for the delivery of Electricity in the Province of Ontario to a point of interconnection with the IMO-Controlled Grid representing the “sink” half of the source-sink pair, and including the “sink” half of a source-sink pair for which any Financial Transmission Rights are defined.  </w:t>
      </w:r>
    </w:p>
    <w:p>
      <w:pPr>
        <w:pStyle w:val="BodyText"/>
        <w:rPr/>
      </w:pPr>
      <w:r>
        <w:rPr>
          <w:b/>
        </w:rPr>
        <w:t>“</w:t>
      </w:r>
      <w:r>
        <w:rPr>
          <w:b/>
        </w:rPr>
        <w:t>Payee Party”</w:t>
      </w:r>
      <w:r>
        <w:rPr/>
        <w:t xml:space="preserve"> means a Party to whom an amount is owing by the other Party under this Agreement or with respect to the Transaction.</w:t>
      </w:r>
    </w:p>
    <w:p>
      <w:pPr>
        <w:pStyle w:val="BodyText"/>
        <w:rPr>
          <w:b/>
        </w:rPr>
      </w:pPr>
      <w:r>
        <w:rPr>
          <w:b/>
        </w:rPr>
        <w:t>“</w:t>
      </w:r>
      <w:r>
        <w:rPr>
          <w:b/>
        </w:rPr>
        <w:t xml:space="preserve">Payment Due Date” </w:t>
      </w:r>
      <w:r>
        <w:rPr/>
        <w:t xml:space="preserve">means, in respect of a Billing Statement to be delivered by the first Business Day of a month pursuant to Section 4.1, the fourth Business Day of such month and, in respect of a Billing Statement to be delivered by the twelfth Business Day of a month pursuant to Section 4.1, the fifteenth Business Day of such month. </w:t>
      </w:r>
    </w:p>
    <w:p>
      <w:pPr>
        <w:pStyle w:val="BodyText"/>
        <w:rPr>
          <w:b/>
        </w:rPr>
      </w:pPr>
      <w:r>
        <w:rPr>
          <w:b/>
        </w:rPr>
        <w:t>“</w:t>
      </w:r>
      <w:r>
        <w:rPr>
          <w:b/>
        </w:rPr>
        <w:t>Payor Party”</w:t>
      </w:r>
      <w:r>
        <w:rPr/>
        <w:t xml:space="preserve"> means a Party who has an amount owing to the other Party under this Agreement or with respect to the Transaction.</w:t>
      </w:r>
    </w:p>
    <w:p>
      <w:pPr>
        <w:pStyle w:val="BodyText"/>
        <w:rPr/>
      </w:pPr>
      <w:r>
        <w:rPr>
          <w:b/>
        </w:rPr>
        <w:t>“</w:t>
      </w:r>
      <w:r>
        <w:rPr>
          <w:b/>
        </w:rPr>
        <w:t>Person”</w:t>
      </w:r>
      <w:r>
        <w:rPr/>
        <w:t xml:space="preserve"> includes an individual, corporation, trust, association, company, partnership, limited liability company, joint venture, any government or governmental agency or authority, or any other legal entity howsoever constituted.</w:t>
      </w:r>
    </w:p>
    <w:p>
      <w:pPr>
        <w:pStyle w:val="BodyText"/>
        <w:rPr/>
      </w:pPr>
      <w:r>
        <w:rPr>
          <w:b/>
        </w:rPr>
        <w:t>“</w:t>
      </w:r>
      <w:r>
        <w:rPr>
          <w:b/>
        </w:rPr>
        <w:t>Pre-LMP Market Price”</w:t>
      </w:r>
      <w:r>
        <w:rPr/>
        <w:t xml:space="preserve"> means the real-time, hourly spot market price for Electricity settlements at the Delivery Point as published by the IMO and effective prior to the introduction of LMP.</w:t>
      </w:r>
    </w:p>
    <w:p>
      <w:pPr>
        <w:pStyle w:val="Normal"/>
        <w:tabs>
          <w:tab w:val="clear" w:pos="720"/>
          <w:tab w:val="left" w:pos="1152" w:leader="none"/>
          <w:tab w:val="left" w:pos="2016" w:leader="none"/>
          <w:tab w:val="left" w:pos="2880" w:leader="none"/>
          <w:tab w:val="left" w:pos="3744" w:leader="none"/>
          <w:tab w:val="left" w:pos="5760" w:leader="none"/>
        </w:tabs>
        <w:spacing w:before="0" w:after="240"/>
        <w:jc w:val="both"/>
        <w:rPr/>
      </w:pPr>
      <w:r>
        <w:rPr>
          <w:b/>
        </w:rPr>
        <w:t>“</w:t>
      </w:r>
      <w:r>
        <w:rPr>
          <w:b/>
        </w:rPr>
        <w:t>Present Value Discount Rate”</w:t>
      </w:r>
      <w:r>
        <w:rPr/>
        <w:t xml:space="preserve"> means (a) if the time remaining in the Term is one year or less, the yield of Canadian Government Treasury Bills with a term closest to the time remaining in the Term and (b) if the time remaining in the Term is greater than one year, the yield of Government of Canada Bonds with a term closest to the time remaining in the Term.</w:t>
      </w:r>
    </w:p>
    <w:p>
      <w:pPr>
        <w:pStyle w:val="BodyText"/>
        <w:rPr/>
      </w:pPr>
      <w:r>
        <w:rPr>
          <w:b/>
        </w:rPr>
        <w:t>“</w:t>
      </w:r>
      <w:r>
        <w:rPr>
          <w:b/>
        </w:rPr>
        <w:t>PST”</w:t>
      </w:r>
      <w:r>
        <w:rPr/>
        <w:t xml:space="preserve"> means the Ontario Provincial Sales Tax applicable under the </w:t>
      </w:r>
      <w:r>
        <w:rPr>
          <w:i/>
        </w:rPr>
        <w:t>Retail Sales Tax Act</w:t>
      </w:r>
      <w:r>
        <w:rPr/>
        <w:t xml:space="preserve"> (Ontario).</w:t>
      </w:r>
    </w:p>
    <w:p>
      <w:pPr>
        <w:pStyle w:val="BodyText"/>
        <w:rPr/>
      </w:pPr>
      <w:r>
        <w:rPr>
          <w:b/>
        </w:rPr>
        <w:t>“</w:t>
      </w:r>
      <w:r>
        <w:rPr>
          <w:b/>
        </w:rPr>
        <w:t>Registered Wholesale Meter(s)”</w:t>
      </w:r>
      <w:r>
        <w:rPr/>
        <w:t xml:space="preserve"> means the meter(s) or metering installation(s) applicable to the Nuclear Generation Facility, and registered with the IMO in accordance with the Market Rules.  </w:t>
      </w:r>
    </w:p>
    <w:p>
      <w:pPr>
        <w:pStyle w:val="BodyText"/>
        <w:rPr/>
      </w:pPr>
      <w:r>
        <w:rPr>
          <w:b/>
        </w:rPr>
        <w:t>“</w:t>
      </w:r>
      <w:r>
        <w:rPr>
          <w:b/>
        </w:rPr>
        <w:t xml:space="preserve">Regulatory Approvals” </w:t>
      </w:r>
      <w:r>
        <w:rPr/>
        <w:t>means, with respect to a Party, those provincial, federal and other governmental and regulatory authorizations, consents, licenses, permits or approvals necessary under applicable law for the performance of the Transaction in accordance with this Agreement.</w:t>
      </w:r>
    </w:p>
    <w:p>
      <w:pPr>
        <w:pStyle w:val="BodyText"/>
        <w:rPr/>
      </w:pPr>
      <w:r>
        <w:rPr>
          <w:b/>
        </w:rPr>
        <w:t>“</w:t>
      </w:r>
      <w:r>
        <w:rPr>
          <w:b/>
        </w:rPr>
        <w:t>Resolved Amount”</w:t>
      </w:r>
      <w:r>
        <w:rPr/>
        <w:t xml:space="preserve"> has the meaning assigned in Section </w:t>
      </w:r>
      <w:r>
        <w:rPr/>
        <w:fldChar w:fldCharType="begin"/>
      </w:r>
      <w:r>
        <w:rPr/>
        <w:instrText xml:space="preserve"> REF _Ref470592415 \r \r \h </w:instrText>
      </w:r>
      <w:r>
        <w:rPr/>
        <w:fldChar w:fldCharType="separate"/>
      </w:r>
      <w:r>
        <w:rPr/>
        <w:t>4.3</w:t>
      </w:r>
      <w:r>
        <w:rPr/>
        <w:fldChar w:fldCharType="end"/>
      </w:r>
      <w:r>
        <w:rPr/>
        <w:t>.</w:t>
      </w:r>
    </w:p>
    <w:p>
      <w:pPr>
        <w:pStyle w:val="BodyText"/>
        <w:rPr/>
      </w:pPr>
      <w:r>
        <w:rPr>
          <w:b/>
        </w:rPr>
        <w:t>“</w:t>
      </w:r>
      <w:r>
        <w:rPr>
          <w:b/>
          <w:i/>
        </w:rPr>
        <w:t>Retail Sales Tax Act</w:t>
      </w:r>
      <w:r>
        <w:rPr>
          <w:b/>
        </w:rPr>
        <w:t xml:space="preserve"> (Ontario)”</w:t>
      </w:r>
      <w:r>
        <w:rPr/>
        <w:t xml:space="preserve"> means the </w:t>
      </w:r>
      <w:r>
        <w:rPr>
          <w:i/>
        </w:rPr>
        <w:t>Retail Sales Tax Act,</w:t>
      </w:r>
      <w:r>
        <w:rPr/>
        <w:t xml:space="preserve"> R.S.O. 1990, c. R.31, as amended, restated, replaced or otherwise modified from time to time.</w:t>
      </w:r>
    </w:p>
    <w:p>
      <w:pPr>
        <w:pStyle w:val="BodyText"/>
        <w:rPr/>
      </w:pPr>
      <w:r>
        <w:rPr>
          <w:b/>
        </w:rPr>
        <w:t>“</w:t>
      </w:r>
      <w:r>
        <w:rPr>
          <w:b/>
        </w:rPr>
        <w:t>Retail Seller’s License”</w:t>
      </w:r>
      <w:r>
        <w:rPr/>
        <w:t xml:space="preserve"> means the license to sell Electricity or ancillary services through the IMO-administered markets or directly to a Consumer pursuant to Section 57(d) of the </w:t>
      </w:r>
      <w:r>
        <w:rPr>
          <w:i/>
        </w:rPr>
        <w:t>Ontario Energy Board Act</w:t>
      </w:r>
      <w:r>
        <w:rPr/>
        <w:t xml:space="preserve"> (Ontario).</w:t>
      </w:r>
    </w:p>
    <w:p>
      <w:pPr>
        <w:pStyle w:val="BodyText"/>
        <w:rPr>
          <w:b/>
        </w:rPr>
      </w:pPr>
      <w:r>
        <w:rPr>
          <w:b/>
        </w:rPr>
        <w:t>“</w:t>
      </w:r>
      <w:r>
        <w:rPr>
          <w:b/>
        </w:rPr>
        <w:t xml:space="preserve">Schedule”, “Scheduled” </w:t>
      </w:r>
      <w:r>
        <w:rPr/>
        <w:t>and</w:t>
      </w:r>
      <w:r>
        <w:rPr>
          <w:b/>
        </w:rPr>
        <w:t xml:space="preserve"> “Scheduling” </w:t>
      </w:r>
      <w:r>
        <w:rPr/>
        <w:t xml:space="preserve">means all acts necessary for Seller to schedule, or cause to be delivered, the Hourly Contract Quantity at the Delivery Point throughout the Term, including the submission by Seller of all Bilateral Contract Data. </w:t>
      </w:r>
    </w:p>
    <w:p>
      <w:pPr>
        <w:pStyle w:val="BodyText"/>
        <w:rPr/>
      </w:pPr>
      <w:r>
        <w:rPr>
          <w:b/>
        </w:rPr>
        <w:t>“</w:t>
      </w:r>
      <w:r>
        <w:rPr>
          <w:b/>
        </w:rPr>
        <w:t xml:space="preserve">Seller” </w:t>
      </w:r>
      <w:r>
        <w:rPr/>
        <w:t>means British Energy (Canada) Ltd., its successors and permitted assigns.</w:t>
      </w:r>
    </w:p>
    <w:p>
      <w:pPr>
        <w:pStyle w:val="BodyText"/>
        <w:rPr/>
      </w:pPr>
      <w:r>
        <w:rPr>
          <w:b/>
        </w:rPr>
        <w:t>“</w:t>
      </w:r>
      <w:r>
        <w:rPr>
          <w:b/>
        </w:rPr>
        <w:t>Seller’s Collateral Amount”</w:t>
      </w:r>
      <w:r>
        <w:rPr/>
        <w:t xml:space="preserve"> has the meaning set out in Section </w:t>
      </w:r>
      <w:r>
        <w:rPr/>
        <w:fldChar w:fldCharType="begin"/>
      </w:r>
      <w:r>
        <w:rPr/>
        <w:instrText xml:space="preserve"> REF _Ref476624236 \r \r \h </w:instrText>
      </w:r>
      <w:r>
        <w:rPr/>
        <w:fldChar w:fldCharType="separate"/>
      </w:r>
      <w:r>
        <w:rPr/>
        <w:t>8.1</w:t>
      </w:r>
      <w:r>
        <w:rPr/>
        <w:fldChar w:fldCharType="end"/>
      </w:r>
      <w:r>
        <w:rPr/>
        <w:t>.</w:t>
      </w:r>
    </w:p>
    <w:p>
      <w:pPr>
        <w:pStyle w:val="BodyText"/>
        <w:rPr/>
      </w:pPr>
      <w:r>
        <w:rPr>
          <w:b/>
        </w:rPr>
        <w:t>“</w:t>
      </w:r>
      <w:r>
        <w:rPr>
          <w:b/>
        </w:rPr>
        <w:t>Seller’s Conditions Precedent”</w:t>
      </w:r>
      <w:r>
        <w:rPr/>
        <w:t xml:space="preserve"> means each of the following:</w:t>
      </w:r>
    </w:p>
    <w:p>
      <w:pPr>
        <w:pStyle w:val="BodyText"/>
        <w:numPr>
          <w:ilvl w:val="2"/>
          <w:numId w:val="16"/>
        </w:numPr>
        <w:rPr/>
      </w:pPr>
      <w:r>
        <w:rPr/>
        <w:t>as of the Commencement Date, there shall not be existing and continuing any Event of Default with respect to Buyer;</w:t>
      </w:r>
    </w:p>
    <w:p>
      <w:pPr>
        <w:pStyle w:val="BodyText"/>
        <w:numPr>
          <w:ilvl w:val="2"/>
          <w:numId w:val="12"/>
        </w:numPr>
        <w:rPr/>
      </w:pPr>
      <w:r>
        <w:rPr/>
        <w:t>within three Business Days after the execution and delivery of this Agreement by Buyer and Seller, Buyer’s Guarantor shall have executed and delivered to Seller a Guarantee Agreement in the form attached as Exhibit “A”;</w:t>
      </w:r>
    </w:p>
    <w:p>
      <w:pPr>
        <w:pStyle w:val="BodyText"/>
        <w:numPr>
          <w:ilvl w:val="2"/>
          <w:numId w:val="12"/>
        </w:numPr>
        <w:rPr/>
      </w:pPr>
      <w:r>
        <w:rPr/>
        <w:t xml:space="preserve">on or before the date which is 60 days prior to Market Opening, Seller or its Affiliate shall have entered into a definitive agreement, or other such agreements, on terms and conditions satisfactory to Seller in its sole discretion, in connection with any or all of the Nuclear Generation Facility; and </w:t>
      </w:r>
    </w:p>
    <w:p>
      <w:pPr>
        <w:pStyle w:val="BodyText"/>
        <w:numPr>
          <w:ilvl w:val="2"/>
          <w:numId w:val="12"/>
        </w:numPr>
        <w:rPr/>
      </w:pPr>
      <w:r>
        <w:rPr/>
        <w:t xml:space="preserve">on or before the date which is 60 days prior to Market Opening, Seller shall have obtained the following Regulatory Approvals:  </w:t>
      </w:r>
    </w:p>
    <w:p>
      <w:pPr>
        <w:pStyle w:val="BodyText"/>
        <w:numPr>
          <w:ilvl w:val="3"/>
          <w:numId w:val="12"/>
        </w:numPr>
        <w:rPr/>
      </w:pPr>
      <w:r>
        <w:rPr/>
        <w:t>from the Ontario Energy Board:</w:t>
      </w:r>
    </w:p>
    <w:p>
      <w:pPr>
        <w:pStyle w:val="BodyText"/>
        <w:numPr>
          <w:ilvl w:val="0"/>
          <w:numId w:val="11"/>
        </w:numPr>
        <w:rPr/>
      </w:pPr>
      <w:r>
        <w:rPr/>
        <w:t xml:space="preserve">if by then required as a result of being proclaimed in force pursuant to the </w:t>
      </w:r>
      <w:r>
        <w:rPr>
          <w:i/>
        </w:rPr>
        <w:t>Ontario Energy Board Act</w:t>
      </w:r>
      <w:r>
        <w:rPr/>
        <w:t xml:space="preserve"> (Ontario), a Wholesale Buyer’s License; and</w:t>
      </w:r>
    </w:p>
    <w:p>
      <w:pPr>
        <w:pStyle w:val="BodyText"/>
        <w:numPr>
          <w:ilvl w:val="0"/>
          <w:numId w:val="11"/>
        </w:numPr>
        <w:rPr/>
      </w:pPr>
      <w:r>
        <w:rPr/>
        <w:t xml:space="preserve">if by then required as a result of being proclaimed in force pursuant to the </w:t>
      </w:r>
      <w:r>
        <w:rPr>
          <w:i/>
        </w:rPr>
        <w:t>Ontario Energy Board Act</w:t>
      </w:r>
      <w:r>
        <w:rPr/>
        <w:t xml:space="preserve"> (Ontario), a Wholesale Seller’s License; and</w:t>
      </w:r>
    </w:p>
    <w:p>
      <w:pPr>
        <w:pStyle w:val="BodyText"/>
        <w:ind w:start="1440" w:end="0"/>
        <w:rPr/>
      </w:pPr>
      <w:r>
        <w:rPr/>
        <w:t>(ii)</w:t>
        <w:tab/>
        <w:t>from the IMO, an Authorization to Participate.</w:t>
      </w:r>
    </w:p>
    <w:p>
      <w:pPr>
        <w:pStyle w:val="BodyText"/>
        <w:rPr/>
      </w:pPr>
      <w:r>
        <w:rPr>
          <w:b/>
        </w:rPr>
        <w:t>“</w:t>
      </w:r>
      <w:r>
        <w:rPr>
          <w:b/>
        </w:rPr>
        <w:t>Seller’s Deficiency”</w:t>
      </w:r>
      <w:r>
        <w:rPr/>
        <w:t xml:space="preserve"> has the meaning assigned in Section </w:t>
      </w:r>
      <w:r>
        <w:rPr/>
        <w:fldChar w:fldCharType="begin"/>
      </w:r>
      <w:r>
        <w:rPr/>
        <w:instrText xml:space="preserve"> REF _Ref476625339 \r \r \h </w:instrText>
      </w:r>
      <w:r>
        <w:rPr/>
        <w:fldChar w:fldCharType="separate"/>
      </w:r>
      <w:r>
        <w:rPr/>
        <w:t>2.4</w:t>
      </w:r>
      <w:r>
        <w:rPr/>
        <w:fldChar w:fldCharType="end"/>
      </w:r>
      <w:r>
        <w:rPr/>
        <w:t>.</w:t>
      </w:r>
    </w:p>
    <w:p>
      <w:pPr>
        <w:pStyle w:val="BodyText"/>
        <w:rPr/>
      </w:pPr>
      <w:r>
        <w:rPr>
          <w:b/>
        </w:rPr>
        <w:t>“</w:t>
      </w:r>
      <w:r>
        <w:rPr>
          <w:b/>
        </w:rPr>
        <w:t>Seller’s Guarantor”</w:t>
      </w:r>
      <w:r>
        <w:rPr/>
        <w:t xml:space="preserve"> means British Energy plc, a public limited company incorporated under the laws of Scotland.</w:t>
      </w:r>
    </w:p>
    <w:p>
      <w:pPr>
        <w:pStyle w:val="BodyText"/>
        <w:rPr/>
      </w:pPr>
      <w:r>
        <w:rPr>
          <w:b/>
        </w:rPr>
        <w:t>“</w:t>
      </w:r>
      <w:r>
        <w:rPr>
          <w:b/>
        </w:rPr>
        <w:t>Specified Event of Force Majeure”</w:t>
      </w:r>
      <w:r>
        <w:rPr/>
        <w:t xml:space="preserve"> means only (a) acts of God; (b) flood; (c) fire; (d) lightning; (e) explosion; (f) civil disturbance; (g) events of force majeure affecting or resulting in the curtailment of firm transmission service by a transmission provider that affects the delivery of Electricity; (h) sabotage; (i) action or restraint by court order or by public, government or regulatory authority;  (j) with respect to Seller as the Claiming Party, Unanticipated Maintenance or Outages Arising as a Result of Certain Specified Events of Force Majeure; or (k) with respect to Buyer as the Claiming Party, a Buyer’s Contracted Force Majeure Event.</w:t>
      </w:r>
    </w:p>
    <w:p>
      <w:pPr>
        <w:pStyle w:val="BodyText"/>
        <w:rPr/>
      </w:pPr>
      <w:r>
        <w:rPr>
          <w:b/>
        </w:rPr>
        <w:t>“</w:t>
      </w:r>
      <w:r>
        <w:rPr>
          <w:b/>
        </w:rPr>
        <w:t>Specified Retailers”</w:t>
      </w:r>
      <w:r>
        <w:rPr/>
        <w:t xml:space="preserve"> means Ontario Hydro Services Corporation, Toronto Hydro, Hydro Mississauga, London Hydro or Ottawa Hydro, or the respective successors or Affiliates thereof. </w:t>
      </w:r>
    </w:p>
    <w:p>
      <w:pPr>
        <w:pStyle w:val="BodyText"/>
        <w:rPr/>
      </w:pPr>
      <w:r>
        <w:rPr>
          <w:b/>
        </w:rPr>
        <w:t>“</w:t>
      </w:r>
      <w:r>
        <w:rPr>
          <w:b/>
        </w:rPr>
        <w:t>S&amp;P”</w:t>
      </w:r>
      <w:r>
        <w:rPr/>
        <w:t xml:space="preserve"> means the Standard &amp; Poor's Rating Group (a division of McGraw-Hill, Inc.) or its successor.</w:t>
      </w:r>
    </w:p>
    <w:p>
      <w:pPr>
        <w:pStyle w:val="BodyText"/>
        <w:rPr>
          <w:b/>
        </w:rPr>
      </w:pPr>
      <w:r>
        <w:rPr>
          <w:b/>
        </w:rPr>
        <w:t>“</w:t>
      </w:r>
      <w:r>
        <w:rPr>
          <w:b/>
        </w:rPr>
        <w:t>System Average Post-LMP Market Price”</w:t>
      </w:r>
      <w:r>
        <w:rPr/>
        <w:t xml:space="preserve"> means, as applicable after the introduction of LMP, the weighted average for the IMO-administered markets in the Province of Ontario of the IMO-determined real-time, hourly spot market price for the purchase and sale of Electricity from time to time at any delivery point, node, zone or other reference point (excluding any intertie zone outside the Province of Ontario and beyond any point of interconnection between the IMO-Controlled Grid and an interconnected transmission system for which the IMO determines prices for Electricity in the real-time market).  </w:t>
      </w:r>
    </w:p>
    <w:p>
      <w:pPr>
        <w:pStyle w:val="BodyText"/>
        <w:rPr/>
      </w:pPr>
      <w:r>
        <w:rPr>
          <w:b/>
        </w:rPr>
        <w:t>“</w:t>
      </w:r>
      <w:r>
        <w:rPr>
          <w:b/>
        </w:rPr>
        <w:t xml:space="preserve">Taxes” </w:t>
      </w:r>
      <w:r>
        <w:rPr/>
        <w:t>means all present and future ad valorem, property, occupation, severance, generation, first use, conservation, energy, transmission, utility, gross receipts, sales, excise, use, consumption, and other taxes or governmental charges, fees and assessments, including GST and PST, but excluding taxes assessed on a Party’s gross or net income or worth.</w:t>
      </w:r>
    </w:p>
    <w:p>
      <w:pPr>
        <w:pStyle w:val="BodyText"/>
        <w:rPr/>
      </w:pPr>
      <w:r>
        <w:rPr>
          <w:b/>
        </w:rPr>
        <w:t>“</w:t>
      </w:r>
      <w:r>
        <w:rPr>
          <w:b/>
        </w:rPr>
        <w:t>Term”</w:t>
      </w:r>
      <w:r>
        <w:rPr/>
        <w:t xml:space="preserve"> means the period beginning with and including the Commencement Date through to the Termination Date for all hours of each day, starting with HE 01:00, EPT, through to HE 24:00, EPT.</w:t>
      </w:r>
    </w:p>
    <w:p>
      <w:pPr>
        <w:pStyle w:val="BodyText"/>
        <w:rPr/>
      </w:pPr>
      <w:r>
        <w:rPr>
          <w:b/>
        </w:rPr>
        <w:t>“</w:t>
      </w:r>
      <w:r>
        <w:rPr>
          <w:b/>
        </w:rPr>
        <w:t>Termination Date”</w:t>
      </w:r>
      <w:r>
        <w:rPr/>
        <w:t xml:space="preserve"> means the third anniversary of the Commencement Date.</w:t>
      </w:r>
    </w:p>
    <w:p>
      <w:pPr>
        <w:pStyle w:val="BodyText"/>
        <w:rPr/>
      </w:pPr>
      <w:r>
        <w:rPr>
          <w:b/>
        </w:rPr>
        <w:t>“</w:t>
      </w:r>
      <w:r>
        <w:rPr>
          <w:b/>
        </w:rPr>
        <w:t>Total Contract Quantity”</w:t>
      </w:r>
      <w:r>
        <w:rPr/>
        <w:t xml:space="preserve"> means 13,140,000 MWh (or 13,152,000 MWh if any calendar year during the Term is a 366-day year), based upon the Hourly Contract Quantity being delivered for all hours of every day of the Term.</w:t>
      </w:r>
    </w:p>
    <w:p>
      <w:pPr>
        <w:pStyle w:val="BodyText"/>
        <w:rPr/>
      </w:pPr>
      <w:r>
        <w:rPr>
          <w:b/>
        </w:rPr>
        <w:t>“</w:t>
      </w:r>
      <w:r>
        <w:rPr>
          <w:b/>
        </w:rPr>
        <w:t>Transaction”</w:t>
      </w:r>
      <w:r>
        <w:rPr/>
        <w:t xml:space="preserve"> has the meaning assigned in the Preamble of this Agreement.</w:t>
      </w:r>
    </w:p>
    <w:p>
      <w:pPr>
        <w:pStyle w:val="BodyText"/>
        <w:rPr/>
      </w:pPr>
      <w:r>
        <w:rPr>
          <w:b/>
        </w:rPr>
        <w:t>“</w:t>
      </w:r>
      <w:r>
        <w:rPr>
          <w:b/>
        </w:rPr>
        <w:t>Unanticipated Maintenance or Outages Arising as a Result of Certain Specified Events of Force Majeure”</w:t>
      </w:r>
      <w:r>
        <w:rPr/>
        <w:t xml:space="preserve"> means only maintenance or outages affecting the Nuclear Generation Facility which are not scheduled or planned in advance of the occurrence of Certain Specified Events of Force Majeure, but which result solely as a consequence from, or which are scheduled or planned solely as a consequence of, the occurrence of Certain Specified Events of Force Majeure.</w:t>
      </w:r>
    </w:p>
    <w:p>
      <w:pPr>
        <w:pStyle w:val="BodyText"/>
        <w:rPr/>
      </w:pPr>
      <w:r>
        <w:rPr>
          <w:b/>
        </w:rPr>
        <w:t>“</w:t>
      </w:r>
      <w:r>
        <w:rPr>
          <w:b/>
        </w:rPr>
        <w:t>Wholesale Buyer’s License”</w:t>
      </w:r>
      <w:r>
        <w:rPr/>
        <w:t xml:space="preserve"> means a license to purchase Electricity or ancillary services in the IMO-administered markets or directly for a generator pursuant to Section 57(e) of the </w:t>
      </w:r>
      <w:r>
        <w:rPr>
          <w:i/>
        </w:rPr>
        <w:t xml:space="preserve">Ontario Energy Board Act </w:t>
      </w:r>
      <w:r>
        <w:rPr/>
        <w:t>(Ontario).</w:t>
      </w:r>
    </w:p>
    <w:p>
      <w:pPr>
        <w:pStyle w:val="BodyText"/>
        <w:rPr/>
      </w:pPr>
      <w:r>
        <w:rPr>
          <w:b/>
        </w:rPr>
        <w:t>“</w:t>
      </w:r>
      <w:r>
        <w:rPr>
          <w:b/>
        </w:rPr>
        <w:t>Wholesale Seller’s License”</w:t>
      </w:r>
      <w:r>
        <w:rPr/>
        <w:t xml:space="preserve"> means a license to sell Electricity or ancillary services through the IMO-administered markets or directly to another Person (or other than a Consumer) pursuant to Section 57(f) of the </w:t>
      </w:r>
      <w:r>
        <w:rPr>
          <w:i/>
        </w:rPr>
        <w:t xml:space="preserve">Ontario Energy Board Act </w:t>
      </w:r>
      <w:r>
        <w:rPr/>
        <w:t>(Ontario).</w:t>
      </w:r>
    </w:p>
    <w:p>
      <w:pPr>
        <w:pStyle w:val="BodyText"/>
        <w:rPr/>
      </w:pPr>
      <w:r>
        <w:rPr>
          <w:b/>
        </w:rPr>
        <w:t>“</w:t>
      </w:r>
      <w:r>
        <w:rPr>
          <w:b/>
          <w:i/>
        </w:rPr>
        <w:t>Winding-up and Restructuring Act</w:t>
      </w:r>
      <w:r>
        <w:rPr>
          <w:b/>
        </w:rPr>
        <w:t xml:space="preserve"> (Canada)”</w:t>
      </w:r>
      <w:r>
        <w:rPr/>
        <w:t xml:space="preserve"> means the </w:t>
      </w:r>
      <w:r>
        <w:rPr>
          <w:i/>
        </w:rPr>
        <w:t>Winding-up and Restructuring Act,</w:t>
      </w:r>
      <w:r>
        <w:rPr/>
        <w:t xml:space="preserve"> R.S.C. 1985, c. W-11, as amended, restated, replaced or otherwise modified from time to time.</w:t>
      </w:r>
    </w:p>
    <w:p>
      <w:pPr>
        <w:pStyle w:val="Article8L2"/>
        <w:numPr>
          <w:ilvl w:val="1"/>
          <w:numId w:val="12"/>
        </w:numPr>
        <w:ind w:hanging="0" w:start="0"/>
        <w:rPr/>
      </w:pPr>
      <w:bookmarkStart w:id="6" w:name="__RefHeading___Toc480081440"/>
      <w:bookmarkEnd w:id="6"/>
      <w:r>
        <w:rPr>
          <w:b/>
          <w:color w:val="0000FF"/>
        </w:rPr>
        <w:t>Other Defined Terms</w:t>
      </w:r>
      <w:r>
        <w:rPr/>
        <w:t xml:space="preserve">.  In addition to Section </w:t>
      </w:r>
      <w:r>
        <w:rPr/>
        <w:fldChar w:fldCharType="begin"/>
      </w:r>
      <w:r>
        <w:rPr/>
        <w:instrText xml:space="preserve"> REF _Ref476628291 \r \r \h </w:instrText>
      </w:r>
      <w:r>
        <w:rPr/>
        <w:fldChar w:fldCharType="separate"/>
      </w:r>
      <w:r>
        <w:rPr/>
        <w:t>1.1</w:t>
      </w:r>
      <w:r>
        <w:rPr/>
        <w:fldChar w:fldCharType="end"/>
      </w:r>
      <w:r>
        <w:rPr/>
        <w:t>, other defined terms which apply to this Agreement may be defined elsewhere in this Agreement.</w:t>
      </w:r>
    </w:p>
    <w:p>
      <w:pPr>
        <w:pStyle w:val="Article8L2"/>
        <w:numPr>
          <w:ilvl w:val="1"/>
          <w:numId w:val="12"/>
        </w:numPr>
        <w:ind w:hanging="0" w:start="0"/>
        <w:rPr/>
      </w:pPr>
      <w:bookmarkStart w:id="7" w:name="__RefHeading___Toc480081441"/>
      <w:r>
        <w:rPr>
          <w:b/>
          <w:color w:val="0000FF"/>
        </w:rPr>
        <w:t>Currency</w:t>
      </w:r>
      <w:r>
        <w:rPr/>
        <w:t>.  Unless otherwise indicated, all dollar amounts referred to in this Agreement refer to the currency of Canada.  If, on any date of determination, it is necessary to convert a dollar amount referred to in this Agreement to or from the currency of Canada, to or from the currency of the United States, such currency conversion shall be effected using the “noon spot rate” for currency exchange as quoted</w:t>
      </w:r>
      <w:bookmarkEnd w:id="7"/>
      <w:r>
        <w:rPr/>
        <w:t xml:space="preserve"> by the Bank of Canada in Ottawa, Ontario, at or near 12:00 noon, EPT, on such date of determination. </w:t>
      </w:r>
    </w:p>
    <w:p>
      <w:pPr>
        <w:pStyle w:val="Article8L2"/>
        <w:numPr>
          <w:ilvl w:val="1"/>
          <w:numId w:val="12"/>
        </w:numPr>
        <w:ind w:hanging="0" w:start="0"/>
        <w:rPr/>
      </w:pPr>
      <w:bookmarkStart w:id="8" w:name="__RefHeading___Toc480081443"/>
      <w:r>
        <w:rPr>
          <w:b/>
          <w:color w:val="0000FF"/>
        </w:rPr>
        <w:t>Includes, etc.</w:t>
      </w:r>
      <w:r>
        <w:rPr/>
        <w:t>.  Unless otherwise expressly indicated, as used in this Agreement the words “includes”, “included” and “including”, shall be modified by “without limitation”.</w:t>
      </w:r>
      <w:bookmarkEnd w:id="8"/>
      <w:r>
        <w:rPr/>
        <w:t xml:space="preserve"> </w:t>
      </w:r>
    </w:p>
    <w:p>
      <w:pPr>
        <w:pStyle w:val="Article8L2"/>
        <w:numPr>
          <w:ilvl w:val="1"/>
          <w:numId w:val="12"/>
        </w:numPr>
        <w:ind w:hanging="0" w:start="0"/>
        <w:rPr/>
      </w:pPr>
      <w:bookmarkStart w:id="9" w:name="__RefHeading___Toc480081444"/>
      <w:r>
        <w:rPr>
          <w:b/>
          <w:color w:val="0000FF"/>
        </w:rPr>
        <w:t>Singular, Plural and Gender</w:t>
      </w:r>
      <w:r>
        <w:rPr/>
        <w:t>.  Unless otherwise expressly indicated, as used in this Agreement references to the singular includes the plural, references to the plural includes the singular, and the reference to a gender includes both genders and gender neutrality.</w:t>
      </w:r>
      <w:bookmarkEnd w:id="9"/>
      <w:r>
        <w:rPr/>
        <w:t xml:space="preserve"> </w:t>
      </w:r>
    </w:p>
    <w:p>
      <w:pPr>
        <w:pStyle w:val="Article8L2"/>
        <w:numPr>
          <w:ilvl w:val="1"/>
          <w:numId w:val="12"/>
        </w:numPr>
        <w:ind w:hanging="0" w:start="0"/>
        <w:rPr/>
      </w:pPr>
      <w:bookmarkStart w:id="10" w:name="__RefHeading___Toc480081445"/>
      <w:r>
        <w:rPr>
          <w:b/>
          <w:color w:val="0000FF"/>
        </w:rPr>
        <w:t>Interpretation; Governing Law</w:t>
      </w:r>
      <w:r>
        <w:rPr/>
        <w:t>.  This Agreement shall be interpreted and construed in all respects by the laws in force in the Province of Ontario, without giving effect to principles of conflicts of law.</w:t>
      </w:r>
      <w:bookmarkEnd w:id="10"/>
      <w:r>
        <w:rPr>
          <w:i/>
        </w:rPr>
        <w:t xml:space="preserve"> </w:t>
      </w:r>
    </w:p>
    <w:p>
      <w:pPr>
        <w:pStyle w:val="Article8L2"/>
        <w:numPr>
          <w:ilvl w:val="1"/>
          <w:numId w:val="12"/>
        </w:numPr>
        <w:ind w:hanging="0" w:start="0"/>
        <w:rPr/>
      </w:pPr>
      <w:bookmarkStart w:id="11" w:name="__RefHeading___Toc480081446"/>
      <w:bookmarkEnd w:id="11"/>
      <w:r>
        <w:rPr>
          <w:b/>
          <w:color w:val="0000FF"/>
        </w:rPr>
        <w:t>Headings and Sections</w:t>
      </w:r>
      <w:r>
        <w:rPr/>
        <w:t>.  The use of headings and sub-headings in this Agreement, and the division of this Agreement into sections, sub-sections, paragraphs, sub-paragraphs, clauses and sub-clauses is for convenience of reference only and shall not have any effect on the interpretation or construction of this Agreement.</w:t>
      </w:r>
    </w:p>
    <w:p>
      <w:pPr>
        <w:pStyle w:val="Article8L1"/>
        <w:numPr>
          <w:ilvl w:val="0"/>
          <w:numId w:val="12"/>
        </w:numPr>
        <w:ind w:hanging="0" w:start="0"/>
        <w:rPr/>
      </w:pPr>
      <w:r>
        <w:rPr>
          <w:b/>
          <w:caps/>
          <w:color w:val="0000FF"/>
        </w:rPr>
        <w:br/>
      </w:r>
      <w:bookmarkStart w:id="12" w:name="__RefHeading___Toc480081447"/>
      <w:bookmarkStart w:id="13" w:name="_Ref470582633"/>
      <w:r>
        <w:rPr>
          <w:b/>
          <w:caps/>
          <w:color w:val="0000FF"/>
        </w:rPr>
        <w:t>PURCHASE AND SALE OF ELECTRICITY</w:t>
      </w:r>
      <w:bookmarkEnd w:id="12"/>
      <w:bookmarkEnd w:id="13"/>
    </w:p>
    <w:p>
      <w:pPr>
        <w:pStyle w:val="Article8L2"/>
        <w:numPr>
          <w:ilvl w:val="1"/>
          <w:numId w:val="12"/>
        </w:numPr>
        <w:ind w:hanging="0" w:start="0"/>
        <w:rPr/>
      </w:pPr>
      <w:bookmarkStart w:id="14" w:name="__RefHeading___Toc480081448"/>
      <w:bookmarkEnd w:id="14"/>
      <w:r>
        <w:rPr>
          <w:b/>
          <w:color w:val="0000FF"/>
        </w:rPr>
        <w:t>Seller’s and Buyer’s Obligations</w:t>
      </w:r>
      <w:r>
        <w:rPr/>
        <w:t>.</w:t>
      </w:r>
    </w:p>
    <w:p>
      <w:pPr>
        <w:pStyle w:val="Article8L2"/>
        <w:numPr>
          <w:ilvl w:val="2"/>
          <w:numId w:val="12"/>
        </w:numPr>
        <w:ind w:hanging="0" w:start="0"/>
        <w:rPr/>
      </w:pPr>
      <w:r>
        <w:rPr/>
        <w:t>In consideration of the Contract Price payable by Buyer to Seller under and pursuant to this Agreement, and subject to the terms and conditions of this Agreement, Seller shall sell, Schedule and deliver, or cause to be Scheduled and delivered, to Buyer, and Buyer shall purchase and receive, or cause to be received, from Seller, at the Delivery Point, the Hourly Contract Quantity on a Firm basis throughout the Term.</w:t>
      </w:r>
    </w:p>
    <w:p>
      <w:pPr>
        <w:pStyle w:val="Article8L3"/>
        <w:numPr>
          <w:ilvl w:val="2"/>
          <w:numId w:val="12"/>
        </w:numPr>
        <w:ind w:hanging="0" w:start="0"/>
        <w:rPr/>
      </w:pPr>
      <w:bookmarkStart w:id="15" w:name="_Ref471738004"/>
      <w:r>
        <w:rPr/>
        <w:t xml:space="preserve">Seller will be responsible for any costs or charges imposed on, or associated with, the delivery of the Hourly Contract Quantity arising prior to the Delivery Point or imposed on, or associated with, the delivery of the Hourly Contract Quantity to the Delivery Point, including all transmission costs and charges, competition transition charges, control area services, inadvertent energy flows, transmission losses, loss charges, fees and other related uplift charges and, whether before or after the introduction of LMP and regardless of the Scheduling rules or requirements, if the Delivery Point is not the Registered Wholesale Meter(s), including all costs and charges imposed on, or associated with, the delivery of the Hourly Contract Quantity between the Registered Wholesale Meter(s) for the Nuclear Generation Facility and the Delivery Point.  </w:t>
      </w:r>
    </w:p>
    <w:p>
      <w:pPr>
        <w:pStyle w:val="Article8L3"/>
        <w:numPr>
          <w:ilvl w:val="2"/>
          <w:numId w:val="12"/>
        </w:numPr>
        <w:ind w:hanging="0" w:start="0"/>
        <w:rPr/>
      </w:pPr>
      <w:bookmarkStart w:id="16" w:name="_Ref471738004"/>
      <w:r>
        <w:rPr/>
        <w:t>Buyer will be responsible for any costs or charges imposed on or associated with the receipt of the Hourly Contract Quantity arising after the Delivery Point or imposed on, or associated with, the receipt of the Hourly Contract Quantity at the Delivery Point, including all transmission costs and charges, competition transition charges, control area services, inadvertent energy flows, transmission losses, loss charges, fees and other related uplift charges</w:t>
      </w:r>
      <w:bookmarkEnd w:id="16"/>
      <w:r>
        <w:rPr/>
        <w:t>.</w:t>
      </w:r>
    </w:p>
    <w:p>
      <w:pPr>
        <w:pStyle w:val="Article8L2"/>
        <w:numPr>
          <w:ilvl w:val="1"/>
          <w:numId w:val="12"/>
        </w:numPr>
        <w:ind w:hanging="0" w:start="0"/>
        <w:rPr/>
      </w:pPr>
      <w:bookmarkStart w:id="17" w:name="__RefHeading___Toc480081450"/>
      <w:bookmarkStart w:id="18" w:name="_Ref470437328"/>
      <w:bookmarkEnd w:id="17"/>
      <w:r>
        <w:rPr>
          <w:b/>
          <w:color w:val="0000FF"/>
        </w:rPr>
        <w:t>Passing of Title; Risk</w:t>
      </w:r>
      <w:r>
        <w:rPr/>
        <w:t>.</w:t>
      </w:r>
      <w:bookmarkEnd w:id="18"/>
    </w:p>
    <w:p>
      <w:pPr>
        <w:pStyle w:val="Article8L4"/>
        <w:numPr>
          <w:ilvl w:val="2"/>
          <w:numId w:val="12"/>
        </w:numPr>
        <w:ind w:hanging="0" w:start="0"/>
        <w:rPr/>
      </w:pPr>
      <w:bookmarkStart w:id="19" w:name="_Ref471011537"/>
      <w:r>
        <w:rPr/>
        <w:t xml:space="preserve">Title to, and all risk relating to the Electricity sold and purchased pursuant to the Transaction under this Agreement shall transfer from Seller to Buyer at the Delivery Point.  </w:t>
      </w:r>
      <w:bookmarkEnd w:id="19"/>
    </w:p>
    <w:p>
      <w:pPr>
        <w:pStyle w:val="Article8L3"/>
        <w:numPr>
          <w:ilvl w:val="2"/>
          <w:numId w:val="12"/>
        </w:numPr>
        <w:ind w:hanging="0" w:start="0"/>
        <w:rPr/>
      </w:pPr>
      <w:r>
        <w:rPr/>
        <w:t>As between the Parties:  (i) Seller shall be, and shall be deemed to be, in control of the Electricity delivered and sold hereunder, and shall be responsible for, and shall indemnify Buyer against, any loss, damage, action, cost, expense (including all legal costs and expenses) or injury to any Person or property (including the environment) caused by the delivery of the Electricity sold hereunder to the Delivery Point; and (ii) Buyer shall be, and shall be deemed to be, in control of the Electricity received and purchased hereunder, and shall be responsible for, and shall indemnify Seller against, any loss, damage, action, cost, expense (including all legal costs and expenses) or injury to any Person or property (including the environment) caused by the receipt of the Electricity purchased hereunder at the Delivery Point and the transmission of such Electricity from the Delivery Point.</w:t>
      </w:r>
    </w:p>
    <w:p>
      <w:pPr>
        <w:pStyle w:val="Article8L3"/>
        <w:numPr>
          <w:ilvl w:val="2"/>
          <w:numId w:val="12"/>
        </w:numPr>
        <w:ind w:hanging="0" w:start="0"/>
        <w:rPr/>
      </w:pPr>
      <w:r>
        <w:rPr/>
        <w:t xml:space="preserve">When title and all risk relating to the Electricity sold and purchased under this Agreement pass from Seller to Buyer at the Delivery Point, Seller shall have, and represents and warrants that it has, good title to, and full right and authority to sell and convey, all such Electricity to Buyer under this Agreement free from any and all adverse claims whatsoever, including any and all liens, security interests, encumbrances, charges, trusts and third party interests, and Seller shall indemnify Buyer against any loss, damage, action, cost, expense (including all legal costs and expenses) as a result of non-compliance with any of the foregoing. </w:t>
      </w:r>
    </w:p>
    <w:p>
      <w:pPr>
        <w:pStyle w:val="Article8L3"/>
        <w:numPr>
          <w:ilvl w:val="2"/>
          <w:numId w:val="12"/>
        </w:numPr>
        <w:ind w:hanging="0" w:start="0"/>
        <w:rPr/>
      </w:pPr>
      <w:r>
        <w:rPr/>
        <w:t>As between the Parties, liability for passing of title to, all risk relating to, and delivery and receipt of, Electricity sold and purchased hereunder pursuant to Sections 2.2 (a), (b) and (c) shall survive any termination of the Transaction or this Agreement, or the expiry of the Term.</w:t>
      </w:r>
    </w:p>
    <w:p>
      <w:pPr>
        <w:pStyle w:val="Article8L2"/>
        <w:numPr>
          <w:ilvl w:val="1"/>
          <w:numId w:val="12"/>
        </w:numPr>
        <w:ind w:hanging="0" w:start="0"/>
        <w:rPr/>
      </w:pPr>
      <w:bookmarkStart w:id="20" w:name="__RefHeading___Toc480081451"/>
      <w:r>
        <w:rPr>
          <w:b/>
          <w:color w:val="0000FF"/>
        </w:rPr>
        <w:t>Transmission and Scheduling</w:t>
      </w:r>
      <w:r>
        <w:rPr/>
        <w:t>.  Seller shall be solely responsible for transmission to the Delivery Point, and for Scheduling the delivery to the Delivery Point of the Hourly Contract Quantity throughout the Term (within the time frames required by the Market Rules or the IMO such that there will be no affect on the Buyer’s Maximum Net Exposure and to ensure that no resulting prudential support requirements will be imposed on, or required from Buyer).  Buyer shall be solely responsible for transmission from the Delivery Point of the Hourly Contract Quantity throughout the Term.  Seller shall, upon the written request of Buyer, provide Buyer with all information confirming the Scheduling of the Electricity to be sold and delivered by Seller hereunder.</w:t>
      </w:r>
      <w:bookmarkEnd w:id="20"/>
      <w:r>
        <w:rPr/>
        <w:t xml:space="preserve"> </w:t>
      </w:r>
    </w:p>
    <w:p>
      <w:pPr>
        <w:pStyle w:val="Article8L2"/>
        <w:numPr>
          <w:ilvl w:val="1"/>
          <w:numId w:val="12"/>
        </w:numPr>
        <w:ind w:hanging="0" w:start="0"/>
        <w:rPr/>
      </w:pPr>
      <w:bookmarkStart w:id="21" w:name="__RefHeading___Toc480081452"/>
      <w:bookmarkStart w:id="22" w:name="_Ref476625339"/>
      <w:bookmarkEnd w:id="21"/>
      <w:r>
        <w:rPr>
          <w:b/>
          <w:color w:val="0000FF"/>
        </w:rPr>
        <w:t>Buyer’s Liquidated Cover Damages for Seller's Failure to Deliver</w:t>
      </w:r>
      <w:r>
        <w:rPr/>
        <w:t xml:space="preserve">.  Unless excused as a result of an Event of Force Majeure pursuant to </w:t>
      </w:r>
      <w:r>
        <w:rPr/>
        <w:fldChar w:fldCharType="begin"/>
      </w:r>
      <w:r>
        <w:rPr/>
        <w:instrText xml:space="preserve"> REF _Ref470443289 \r \r \h </w:instrText>
      </w:r>
      <w:r>
        <w:rPr/>
        <w:fldChar w:fldCharType="separate"/>
      </w:r>
      <w:r>
        <w:rPr/>
        <w:t>Article 11</w:t>
      </w:r>
      <w:r>
        <w:rPr/>
        <w:fldChar w:fldCharType="end"/>
      </w:r>
      <w:r>
        <w:rPr/>
        <w:t xml:space="preserve">, or resulting from Buyer's failure to perform, if Seller fails to Schedule for delivery, or fails to cause to be delivered pursuant to the Transaction all or any part of the Hourly Contract Quantity at any time during the Term (a </w:t>
      </w:r>
      <w:r>
        <w:rPr>
          <w:b/>
        </w:rPr>
        <w:t>“Seller’s Deficiency”</w:t>
      </w:r>
      <w:r>
        <w:rPr/>
        <w:t>), Seller shall pay Buyer, after receipt of invoice from Buyer pursuant to Section 4.1, as liquidated damages and not as a penalty, for each MWh of Seller’s Deficiency, an amount equal to the positive difference, if any, of the Pre-LMP Market Price or the Delivery Point Specific Post-LMP Market Price, as then applicable, less the Contract Price, plus $1.00 per MWh to cover Buyer’s administrative and operational costs.  In the case of Seller’s Deficiency, Seller shall also be liable to Buyer for all costs incurred by Buyer, acting in a commercially reasonable manner, in purchasing substitute Electricity, including any additional transmission, location differential, transmission loss or transmission congestion charges, and costs of any affect on the Buyer’s Maximum Net Exposure or for otherwise complying with any resulting prudential support or other requirements of the IMO incurred by Buyer.</w:t>
      </w:r>
      <w:bookmarkEnd w:id="22"/>
    </w:p>
    <w:p>
      <w:pPr>
        <w:pStyle w:val="Article8L2"/>
        <w:numPr>
          <w:ilvl w:val="1"/>
          <w:numId w:val="12"/>
        </w:numPr>
        <w:ind w:hanging="0" w:start="0"/>
        <w:rPr/>
      </w:pPr>
      <w:bookmarkStart w:id="23" w:name="__RefHeading___Toc480081453"/>
      <w:bookmarkStart w:id="24" w:name="_Ref476626853"/>
      <w:bookmarkStart w:id="25" w:name="_Ref476626468"/>
      <w:bookmarkStart w:id="26" w:name="_Ref476624413"/>
      <w:bookmarkStart w:id="27" w:name="_Ref471794682"/>
      <w:r>
        <w:rPr>
          <w:b/>
          <w:color w:val="0000FF"/>
        </w:rPr>
        <w:t>Seller’s Liquidated Cover Damages for Buyer's Failure to Receive</w:t>
      </w:r>
      <w:r>
        <w:rPr/>
        <w:t xml:space="preserve">.  Unless excused as a result of an Event of Force Majeure pursuant to </w:t>
      </w:r>
      <w:r>
        <w:rPr/>
        <w:fldChar w:fldCharType="begin"/>
      </w:r>
      <w:r>
        <w:rPr/>
        <w:instrText xml:space="preserve"> REF _Ref470443289 \r \r \h </w:instrText>
      </w:r>
      <w:r>
        <w:rPr/>
        <w:fldChar w:fldCharType="separate"/>
      </w:r>
      <w:r>
        <w:rPr/>
        <w:t>Article 11</w:t>
      </w:r>
      <w:r>
        <w:rPr/>
        <w:fldChar w:fldCharType="end"/>
      </w:r>
      <w:r>
        <w:rPr/>
        <w:t xml:space="preserve">, or resulting from Seller's failure to perform, if Buyer fails to receive or cause to be received pursuant to the Transaction all or any part of the Hourly Contract Quantity at any time during the Term (a </w:t>
      </w:r>
      <w:r>
        <w:rPr>
          <w:b/>
        </w:rPr>
        <w:t>“Buyer’s Deficiency”</w:t>
      </w:r>
      <w:r>
        <w:rPr/>
        <w:t xml:space="preserve">), </w:t>
      </w:r>
      <w:bookmarkEnd w:id="27"/>
      <w:r>
        <w:rPr/>
        <w:t xml:space="preserve">Buyer shall pay Seller, after receipt of invoice from Seller pursuant to Section </w:t>
      </w:r>
      <w:r>
        <w:rPr/>
        <w:fldChar w:fldCharType="begin"/>
      </w:r>
      <w:r>
        <w:rPr/>
        <w:instrText xml:space="preserve"> REF _Ref477755132 \r \r \h </w:instrText>
      </w:r>
      <w:r>
        <w:rPr/>
        <w:fldChar w:fldCharType="separate"/>
      </w:r>
      <w:r>
        <w:rPr/>
        <w:t>4.1</w:t>
      </w:r>
      <w:r>
        <w:rPr/>
        <w:fldChar w:fldCharType="end"/>
      </w:r>
      <w:r>
        <w:rPr/>
        <w:t>, as liquidated damages and not as a penalty, for each MWh of Buyer’s Deficiency, an amount equal to the positive difference, if any, of the Contract Price less the Pre-LMP Market Price or the Delivery Point Specific Post-LMP Market Price, as then applicable, plus $1.00 per MWh to cover Seller’s administrative and operational costs.  In the case of Buyer’s Deficiency, Buyer shall also be liable to Seller for all costs incurred by Seller, acting in the commercially reasonable manner, in selling the Buyer’s Deficiency, including any additional transmission, location differential, transmission loss or transmission congestion charges incurred by Seller.</w:t>
      </w:r>
      <w:bookmarkEnd w:id="23"/>
      <w:bookmarkEnd w:id="24"/>
      <w:bookmarkEnd w:id="25"/>
      <w:bookmarkEnd w:id="26"/>
      <w:r>
        <w:rPr/>
        <w:t xml:space="preserve"> </w:t>
      </w:r>
    </w:p>
    <w:p>
      <w:pPr>
        <w:pStyle w:val="Article8L2"/>
        <w:numPr>
          <w:ilvl w:val="1"/>
          <w:numId w:val="12"/>
        </w:numPr>
        <w:ind w:hanging="0" w:start="0"/>
        <w:rPr/>
      </w:pPr>
      <w:bookmarkStart w:id="28" w:name="__RefHeading___Toc480081454"/>
      <w:r>
        <w:rPr>
          <w:b/>
          <w:color w:val="0000FF"/>
        </w:rPr>
        <w:t>Seller’s Responsibility for Taxes</w:t>
      </w:r>
      <w:r>
        <w:rPr/>
        <w:t>.  The Contract Price will include, and Seller will be liable for and shall pay, or cause to be paid, or reimburse Buyer if Buyer has paid, all Taxes applicable to the Electricity to be sold and conveyed under this Agreement, or to the Transaction, arising prior to the Delivery Point or imposed on the delivery of Electricity to be sold and conveyed hereunder to the Delivery Point.  If Buyer remits any such Tax, the amount may be deducted from any sums due from Buyer to Seller.  Seller shall indemnify Buyer against any such Taxes, and such indemnification shall survive any termination of the Transaction or this Agreement or the expiry of the Term.</w:t>
      </w:r>
      <w:bookmarkEnd w:id="28"/>
      <w:r>
        <w:rPr/>
        <w:t xml:space="preserve"> </w:t>
      </w:r>
    </w:p>
    <w:p>
      <w:pPr>
        <w:pStyle w:val="Article8L2"/>
        <w:numPr>
          <w:ilvl w:val="1"/>
          <w:numId w:val="12"/>
        </w:numPr>
        <w:ind w:hanging="0" w:start="0"/>
        <w:rPr/>
      </w:pPr>
      <w:bookmarkStart w:id="29" w:name="__RefHeading___Toc480081455"/>
      <w:r>
        <w:rPr>
          <w:b/>
          <w:color w:val="0000FF"/>
        </w:rPr>
        <w:t>Buyer’s Responsibility for Taxes</w:t>
      </w:r>
      <w:r>
        <w:rPr/>
        <w:t>.  The Contract Price will not include, and Buyer will be liable for and shall pay, or cause to be paid, or reimburse Seller if Seller has paid, all Taxes applicable to the Electricity to be purchased and conveyed under this Agreement, or the Transaction, arising after the Delivery Point or imposed on the receipt of Electricity to be purchased and conveyed hereunder at the Delivery Point.  Buyer shall indemnify Seller against any such Taxes, and such indemnification shall survive any termination of the Transaction or this Agreement or the expiry of the Term.  For</w:t>
      </w:r>
      <w:bookmarkEnd w:id="29"/>
      <w:r>
        <w:rPr/>
        <w:t xml:space="preserve"> certainty, the Contract Price does not include any GST or PST payable by Buyer in respect of any Electricity to be purchased and conveyed under this Agreement, or the Transaction, and any such GST or PST shall, to the extent required by law, be paid by Buyer to Seller and shall be remitted by Seller to the appropriate taxation authority. </w:t>
      </w:r>
    </w:p>
    <w:p>
      <w:pPr>
        <w:pStyle w:val="Article8L2"/>
        <w:numPr>
          <w:ilvl w:val="1"/>
          <w:numId w:val="12"/>
        </w:numPr>
        <w:ind w:hanging="0" w:start="0"/>
        <w:rPr/>
      </w:pPr>
      <w:bookmarkStart w:id="30" w:name="__RefHeading___Toc480081457"/>
      <w:r>
        <w:rPr>
          <w:b/>
          <w:color w:val="0000FF"/>
        </w:rPr>
        <w:t>Undertaking With Respect to Taxes</w:t>
      </w:r>
      <w:r>
        <w:rPr/>
        <w:t>.  Each Party, upon written request of the other Party, will take all commercially reasonable steps, and provide all reasonably requested documentation permitting the other Party to claim any available exemption from, credit against or reduction of, any Taxes applicable to the Electricity to be sold and purchased under this Agreement, or the Transaction, and will use commercially reasonable efforts to cooperate in obtaining any available exemption, credit, or reduction of any applicable Taxes.</w:t>
      </w:r>
      <w:bookmarkEnd w:id="30"/>
      <w:r>
        <w:rPr/>
        <w:t xml:space="preserve"> </w:t>
      </w:r>
    </w:p>
    <w:p>
      <w:pPr>
        <w:pStyle w:val="Article8L2"/>
        <w:numPr>
          <w:ilvl w:val="1"/>
          <w:numId w:val="12"/>
        </w:numPr>
        <w:ind w:hanging="0" w:start="0"/>
        <w:rPr/>
      </w:pPr>
      <w:bookmarkStart w:id="31" w:name="__RefHeading___Toc480081458"/>
      <w:bookmarkEnd w:id="31"/>
      <w:r>
        <w:rPr>
          <w:b/>
          <w:color w:val="0000FF"/>
        </w:rPr>
        <w:t>Undertaking With Respect to Buyer’s Contracts</w:t>
      </w:r>
      <w:r>
        <w:rPr/>
        <w:t>.  On or before the Commencement Date, Buyer shall notify Seller in writing of the following with respect to the Buyer’s Contracts (but which, for certainty, shall not include any other information with respect to the Buyer’s Contracts, including the identification of the counterparties or pricing applicable thereto):</w:t>
      </w:r>
    </w:p>
    <w:p>
      <w:pPr>
        <w:pStyle w:val="NumContinue"/>
        <w:numPr>
          <w:ilvl w:val="2"/>
          <w:numId w:val="12"/>
        </w:numPr>
        <w:rPr>
          <w:color w:val="0000FF"/>
          <w:lang w:val="en-US"/>
        </w:rPr>
      </w:pPr>
      <w:r>
        <w:rPr>
          <w:color w:val="0000FF"/>
          <w:lang w:val="en-US"/>
        </w:rPr>
        <w:t>the Designated Ontario Load Delivery Point;</w:t>
      </w:r>
    </w:p>
    <w:p>
      <w:pPr>
        <w:pStyle w:val="NumContinue"/>
        <w:numPr>
          <w:ilvl w:val="2"/>
          <w:numId w:val="12"/>
        </w:numPr>
        <w:rPr/>
      </w:pPr>
      <w:r>
        <w:rPr>
          <w:color w:val="0000FF"/>
          <w:lang w:val="en-US"/>
        </w:rPr>
        <w:t>the hourly contract quantity; and</w:t>
      </w:r>
    </w:p>
    <w:p>
      <w:pPr>
        <w:pStyle w:val="NumContinue"/>
        <w:numPr>
          <w:ilvl w:val="2"/>
          <w:numId w:val="12"/>
        </w:numPr>
        <w:rPr/>
      </w:pPr>
      <w:r>
        <w:rPr/>
        <w:t>the term.</w:t>
      </w:r>
    </w:p>
    <w:p>
      <w:pPr>
        <w:pStyle w:val="NumContinue"/>
        <w:ind w:start="720" w:end="0"/>
        <w:rPr/>
      </w:pPr>
      <w:r>
        <w:rPr/>
        <w:t>Such information shall remain in effect for the Term, provided that, Buyer may amend or supplement such information (i) in the event of the early termination of any Buyer’s Contract as a result of an event of default under a Buyer’s Contract by the counterparty thereto, or (ii) to complete such information if the Buyer’s Contracts as at the Commencement Date are not, in aggregate, for the Total Contract Quantity as a result of the hourly contract quantity thereunder being less than the Hourly Contract Quantity and/or for a term less than the entire Term to reflect any additional Buyer’s Contracts entered into after the Commencement Date with respect to the balance of the Total Contract Quantity and/or the balance of the Term.</w:t>
      </w:r>
    </w:p>
    <w:p>
      <w:pPr>
        <w:pStyle w:val="Article8L1"/>
        <w:numPr>
          <w:ilvl w:val="0"/>
          <w:numId w:val="12"/>
        </w:numPr>
        <w:ind w:hanging="0" w:start="0"/>
        <w:rPr/>
      </w:pPr>
      <w:r>
        <w:rPr>
          <w:b/>
          <w:caps/>
          <w:color w:val="0000FF"/>
        </w:rPr>
        <w:br/>
      </w:r>
      <w:bookmarkStart w:id="32" w:name="__RefHeading___Toc480081459"/>
      <w:r>
        <w:rPr>
          <w:b/>
          <w:caps/>
          <w:color w:val="0000FF"/>
        </w:rPr>
        <w:t>LOCATIONAL MARGINAL PRICING</w:t>
      </w:r>
      <w:bookmarkEnd w:id="32"/>
    </w:p>
    <w:p>
      <w:pPr>
        <w:pStyle w:val="Article8L2"/>
        <w:numPr>
          <w:ilvl w:val="1"/>
          <w:numId w:val="12"/>
        </w:numPr>
        <w:ind w:hanging="0" w:start="0"/>
        <w:rPr>
          <w:b/>
        </w:rPr>
      </w:pPr>
      <w:bookmarkStart w:id="33" w:name="__RefHeading___Toc480081460"/>
      <w:bookmarkStart w:id="34" w:name="_Ref479037425"/>
      <w:bookmarkStart w:id="35" w:name="_Ref476628486"/>
      <w:bookmarkStart w:id="36" w:name="_Ref476625107"/>
      <w:bookmarkStart w:id="37" w:name="_Ref476624728"/>
      <w:r>
        <w:rPr>
          <w:b/>
          <w:color w:val="0000FF"/>
        </w:rPr>
        <w:t>Compensating Mechanism</w:t>
      </w:r>
      <w:r>
        <w:rPr/>
        <w:t xml:space="preserve">.  In the event the IMO (or any other Person of competent authority) proclaims a definitive date for the introduction of Locational Marginal Pricing, then Buyer may, by written notice (the </w:t>
      </w:r>
      <w:r>
        <w:rPr>
          <w:b/>
        </w:rPr>
        <w:t>“LMP Election Notice”</w:t>
      </w:r>
      <w:r>
        <w:rPr/>
        <w:t>) to Seller made at least 90 days prior to the date LMP is to become effective, elect (a) or (b) below:</w:t>
      </w:r>
      <w:bookmarkEnd w:id="33"/>
      <w:bookmarkEnd w:id="35"/>
      <w:bookmarkEnd w:id="36"/>
      <w:bookmarkEnd w:id="37"/>
      <w:r>
        <w:rPr/>
        <w:t xml:space="preserve">  </w:t>
      </w:r>
      <w:bookmarkEnd w:id="34"/>
    </w:p>
    <w:p>
      <w:pPr>
        <w:pStyle w:val="Normal"/>
        <w:numPr>
          <w:ilvl w:val="0"/>
          <w:numId w:val="6"/>
        </w:numPr>
        <w:tabs>
          <w:tab w:val="clear" w:pos="720"/>
        </w:tabs>
        <w:spacing w:before="120" w:after="120"/>
        <w:ind w:hanging="720" w:start="1440" w:end="0"/>
        <w:jc w:val="both"/>
        <w:rPr/>
      </w:pPr>
      <w:r>
        <w:rPr/>
        <w:t>to purchase FTRs for up to the Hourly Contract Quantity effective from the onset of LMP for the remainder of the Term, at the equally shared cost of such FTRs as between Buyer and Seller, payable by Seller to Buyer after receipt of invoice from Buyer in accordance with Section 4.1; or</w:t>
      </w:r>
    </w:p>
    <w:p>
      <w:pPr>
        <w:pStyle w:val="Normal"/>
        <w:numPr>
          <w:ilvl w:val="0"/>
          <w:numId w:val="6"/>
        </w:numPr>
        <w:tabs>
          <w:tab w:val="clear" w:pos="720"/>
        </w:tabs>
        <w:spacing w:before="120" w:after="120"/>
        <w:ind w:hanging="720" w:start="1440" w:end="0"/>
        <w:jc w:val="both"/>
        <w:rPr/>
      </w:pPr>
      <w:r>
        <w:rPr/>
        <w:t>effective upon the introduction of LMP, in respect of the Hourly Contract Quantity and throughout the remainder of the Term:</w:t>
      </w:r>
    </w:p>
    <w:p>
      <w:pPr>
        <w:pStyle w:val="Normal"/>
        <w:numPr>
          <w:ilvl w:val="0"/>
          <w:numId w:val="7"/>
        </w:numPr>
        <w:tabs>
          <w:tab w:val="clear" w:pos="720"/>
        </w:tabs>
        <w:spacing w:before="120" w:after="120"/>
        <w:ind w:hanging="360" w:start="1800" w:end="0"/>
        <w:jc w:val="both"/>
        <w:rPr/>
      </w:pPr>
      <w:r>
        <w:rPr/>
        <w:t>for Seller to pay Buyer, after receipt of invoice from Buyer in accordance with Section 4.1, the difference between the System Average Post-LMP Market Price and the Delivery Point Specific Post-LMP Market Price where the System Average Post-LMP Market Price is greater than the Delivery Point Specific Post-LMP Market Price; and</w:t>
      </w:r>
    </w:p>
    <w:p>
      <w:pPr>
        <w:pStyle w:val="Normal"/>
        <w:numPr>
          <w:ilvl w:val="0"/>
          <w:numId w:val="7"/>
        </w:numPr>
        <w:tabs>
          <w:tab w:val="clear" w:pos="720"/>
        </w:tabs>
        <w:spacing w:before="120" w:after="120"/>
        <w:ind w:hanging="360" w:start="1800" w:end="0"/>
        <w:jc w:val="both"/>
        <w:rPr/>
      </w:pPr>
      <w:r>
        <w:rPr/>
        <w:t>for Buyer to pay Seller, after receipt of invoice from Seller in accordance with Section 4.1, the difference between the System Average Post-LMP Market Price and the Delivery Point Specific Post-LMP Market Price where the System Average Post-LMP Market Price is less than the Delivery Point Specific Post-LMP Market Price.</w:t>
      </w:r>
    </w:p>
    <w:p>
      <w:pPr>
        <w:pStyle w:val="BodyText"/>
        <w:ind w:start="720" w:end="0"/>
        <w:rPr/>
      </w:pPr>
      <w:r>
        <w:rPr/>
        <w:t>If the introduction of LMP includes an adjustment accounting for transmission losses separate from, and additional to, a non-uniform hourly spot price for Electricity in the IMO-administered real-time spot market, then, in addition, the following shall apply to such separate transmission losses adjustment:</w:t>
      </w:r>
    </w:p>
    <w:p>
      <w:pPr>
        <w:pStyle w:val="Article8L3"/>
        <w:numPr>
          <w:ilvl w:val="0"/>
          <w:numId w:val="3"/>
        </w:numPr>
        <w:tabs>
          <w:tab w:val="clear" w:pos="720"/>
        </w:tabs>
        <w:spacing w:before="120" w:after="120"/>
        <w:ind w:hanging="720" w:start="1440" w:end="0"/>
        <w:outlineLvl w:val="9"/>
        <w:rPr>
          <w:lang w:val="en-CA"/>
        </w:rPr>
      </w:pPr>
      <w:r>
        <w:rPr>
          <w:lang w:val="en-CA"/>
        </w:rPr>
        <w:t xml:space="preserve">if such separate transmission losses adjustment is imposed solely on generators or other Ontario market participants injecting Electricity into the IMO-Controlled Grid, then Seller shall be solely liable and responsible for the costs and economic burden of such transmission adjustment; </w:t>
      </w:r>
    </w:p>
    <w:p>
      <w:pPr>
        <w:pStyle w:val="Normal"/>
        <w:numPr>
          <w:ilvl w:val="0"/>
          <w:numId w:val="3"/>
        </w:numPr>
        <w:tabs>
          <w:tab w:val="clear" w:pos="720"/>
        </w:tabs>
        <w:spacing w:before="120" w:after="120"/>
        <w:ind w:hanging="720" w:start="1440" w:end="0"/>
        <w:jc w:val="both"/>
        <w:rPr/>
      </w:pPr>
      <w:r>
        <w:rPr/>
        <w:t>if such separate transmission losses adjustment is imposed solely on Ontario market participants receiving delivery of Electricity on and/or from the IMO-Controlled Grid, then Buyer shall be solely liable and responsible for the costs and economic burden of such transmission adjustment; or</w:t>
      </w:r>
    </w:p>
    <w:p>
      <w:pPr>
        <w:pStyle w:val="Normal"/>
        <w:numPr>
          <w:ilvl w:val="0"/>
          <w:numId w:val="3"/>
        </w:numPr>
        <w:tabs>
          <w:tab w:val="clear" w:pos="720"/>
        </w:tabs>
        <w:spacing w:before="120" w:after="120"/>
        <w:ind w:hanging="720" w:start="1440" w:end="0"/>
        <w:jc w:val="both"/>
        <w:rPr/>
      </w:pPr>
      <w:r>
        <w:rPr/>
        <w:t>if:</w:t>
      </w:r>
    </w:p>
    <w:p>
      <w:pPr>
        <w:pStyle w:val="Normal"/>
        <w:numPr>
          <w:ilvl w:val="0"/>
          <w:numId w:val="10"/>
        </w:numPr>
        <w:tabs>
          <w:tab w:val="clear" w:pos="720"/>
        </w:tabs>
        <w:spacing w:before="120" w:after="120"/>
        <w:ind w:hanging="360" w:start="1800" w:end="0"/>
        <w:jc w:val="both"/>
        <w:rPr/>
      </w:pPr>
      <w:r>
        <w:rPr/>
        <w:t>a delivery point, node, zone or reference point is designated and such separate transmission losses adjustment is imposed on generators or other Ontario market participants injecting Electricity into the IMO-Controlled Grid and Ontario market participants receiving delivery of Electricity on and/or from the IMO-Controlled Grid, then Seller shall be solely liable and responsible for the costs and economic burden of such transmission losses adjustment from the Delivery Point to such delivery point, node, zone or other reference point, and Buyer shall be solely liable and responsible for the costs and economic burden of such transmission losses adjustment from such delivery point, node, zone or other reference point to any Ontario Load Delivery Point; or</w:t>
      </w:r>
    </w:p>
    <w:p>
      <w:pPr>
        <w:pStyle w:val="Normal"/>
        <w:numPr>
          <w:ilvl w:val="0"/>
          <w:numId w:val="10"/>
        </w:numPr>
        <w:tabs>
          <w:tab w:val="clear" w:pos="720"/>
        </w:tabs>
        <w:spacing w:before="120" w:after="120"/>
        <w:ind w:hanging="360" w:start="1800" w:end="0"/>
        <w:jc w:val="both"/>
        <w:rPr/>
      </w:pPr>
      <w:r>
        <w:rPr/>
        <w:t>a delivery point, node, zone or reference point is not designated but rather a point-to-point specific transmission losses adjustment is designated by the IMO (or other Person or competent authority) and such separate transmission losses adjustment is imposed on generators or other Ontario market participants injecting Electricity into the IMO-Controlled Grid and Ontario market participants receiving delivery of Electricity on and/or from the IMO-Controlled Grid, then Seller and Buyer shall equally share the Ontario system-wide average transmission charge in respect of the applicable hour as designated by the IMO.</w:t>
      </w:r>
    </w:p>
    <w:p>
      <w:pPr>
        <w:pStyle w:val="Normal"/>
        <w:spacing w:before="120" w:after="120"/>
        <w:ind w:start="720" w:end="0"/>
        <w:jc w:val="both"/>
        <w:rPr/>
      </w:pPr>
      <w:r>
        <w:rPr/>
        <w:t>Buyer may choose any or a combination of (a) and (b) above (if applicable, together with any separate compensation for transmission losses in paragraphs (c), (d) and (e) above) for up to the Hourly Contract Quantity effective from the onset of LMP for the remainder of the Term.  Further, in the event that any FTRs acquired by Buyer pursuant to paragraph (a) above expire prior to the expiration or termination of the Term, Buyer may again elect, effective upon the expiry of any such FTRs and with not less than 60 days further written notice to Seller prior to the expiry of any such FTRs, for Seller to purchase additional FTRs pursuant to paragraph (a) above or to invoke the payment compensation pursuant to paragraph (b) above (or any combination thereof) for the remainder of the Term (unless any such additional FTRs also expire prior to the expiration or termination of the Term, in which case, Buyer may again invoke this provision until the expiration or termination of the Term).</w:t>
      </w:r>
    </w:p>
    <w:p>
      <w:pPr>
        <w:pStyle w:val="BodyText"/>
        <w:ind w:start="720" w:end="0"/>
        <w:rPr/>
      </w:pPr>
      <w:r>
        <w:rPr/>
        <w:t>Notwithstanding the foregoing, however, in the event that the introduction of LMP results in only a separate adjustment accounting for transmission losses, and not a non-uniform hourly spot price for Electricity in the IMO-administered real-time spot market, then only the following shall apply:</w:t>
      </w:r>
    </w:p>
    <w:p>
      <w:pPr>
        <w:pStyle w:val="Article8L3"/>
        <w:numPr>
          <w:ilvl w:val="0"/>
          <w:numId w:val="3"/>
        </w:numPr>
        <w:tabs>
          <w:tab w:val="clear" w:pos="720"/>
        </w:tabs>
        <w:spacing w:before="120" w:after="120"/>
        <w:ind w:hanging="720" w:start="1440" w:end="0"/>
        <w:outlineLvl w:val="9"/>
        <w:rPr>
          <w:lang w:val="en-CA"/>
        </w:rPr>
      </w:pPr>
      <w:r>
        <w:rPr>
          <w:lang w:val="en-CA"/>
        </w:rPr>
        <w:t xml:space="preserve">if such separate transmission losses adjustment is imposed solely on generators or other Ontario market participants injecting Electricity into the IMO-Controlled Grid, then Seller shall be solely liable and responsible for the costs and economic burden of such transmission losses adjustment; </w:t>
      </w:r>
    </w:p>
    <w:p>
      <w:pPr>
        <w:pStyle w:val="Normal"/>
        <w:numPr>
          <w:ilvl w:val="0"/>
          <w:numId w:val="3"/>
        </w:numPr>
        <w:tabs>
          <w:tab w:val="clear" w:pos="720"/>
        </w:tabs>
        <w:spacing w:before="120" w:after="120"/>
        <w:ind w:hanging="720" w:start="1440" w:end="0"/>
        <w:jc w:val="both"/>
        <w:rPr/>
      </w:pPr>
      <w:r>
        <w:rPr/>
        <w:t>if such separate transmission losses adjustment is imposed solely on Ontario market participants receiving delivery of Electricity on and/or from the IMO-Controlled Grid, then Buyer shall be solely liable and responsible for the costs and economic burden of such transmission losses adjustment; or</w:t>
      </w:r>
    </w:p>
    <w:p>
      <w:pPr>
        <w:pStyle w:val="Normal"/>
        <w:numPr>
          <w:ilvl w:val="0"/>
          <w:numId w:val="3"/>
        </w:numPr>
        <w:tabs>
          <w:tab w:val="clear" w:pos="720"/>
        </w:tabs>
        <w:spacing w:before="120" w:after="120"/>
        <w:ind w:hanging="720" w:start="1440" w:end="0"/>
        <w:jc w:val="both"/>
        <w:rPr/>
      </w:pPr>
      <w:r>
        <w:rPr/>
        <w:t>if:</w:t>
      </w:r>
    </w:p>
    <w:p>
      <w:pPr>
        <w:pStyle w:val="Normal"/>
        <w:numPr>
          <w:ilvl w:val="0"/>
          <w:numId w:val="13"/>
        </w:numPr>
        <w:spacing w:before="120" w:after="120"/>
        <w:ind w:hanging="360" w:start="1800" w:end="0"/>
        <w:jc w:val="both"/>
        <w:rPr/>
      </w:pPr>
      <w:r>
        <w:rPr/>
        <w:t>a delivery point, node, zone or reference point is designated and such separate transmission adjustment is imposed on generators or other Ontario market participants injecting Electricity into the IMO-Controlled Grid and Ontario market participants receiving delivery of Electricity on and/or from the IMO-Controlled Grid, then Seller shall be solely liable and responsible for the costs and economic burden of such transmission adjustment from the Delivery Point to such delivery point, node, zone or reference point, and Buyer shall be solely liable and responsible for the costs and economic burden of such transmission adjustment from such  delivery point, node, zone or reference point to any Ontario Load Delivery Point; or</w:t>
      </w:r>
    </w:p>
    <w:p>
      <w:pPr>
        <w:pStyle w:val="Normal"/>
        <w:numPr>
          <w:ilvl w:val="0"/>
          <w:numId w:val="13"/>
        </w:numPr>
        <w:spacing w:before="120" w:after="240"/>
        <w:ind w:hanging="360" w:start="1800" w:end="0"/>
        <w:jc w:val="both"/>
        <w:rPr/>
      </w:pPr>
      <w:r>
        <w:rPr/>
        <w:t xml:space="preserve">a delivery point, node, zone or reference point is not designated but rather a point-to-point specific transmission adjustment is designated by the IMO (or other Person or competent authority) and such separate transmission adjustment is imposed on generators or other Ontario market participants injecting Electricity into the IMO-Controlled Grid and Ontario market participants receiving delivery of Electricity on and/or from the IMO-Controlled Grid, then Seller and Buyer shall equally share the Ontario system-wide average transmission charge in respect of the applicable hour as designated by the IMO. </w:t>
      </w:r>
    </w:p>
    <w:p>
      <w:pPr>
        <w:pStyle w:val="Article8L2"/>
        <w:numPr>
          <w:ilvl w:val="1"/>
          <w:numId w:val="12"/>
        </w:numPr>
        <w:ind w:hanging="0" w:start="0"/>
        <w:rPr/>
      </w:pPr>
      <w:bookmarkStart w:id="38" w:name="__RefHeading___Toc480081461"/>
      <w:bookmarkStart w:id="39" w:name="_Ref479037464"/>
      <w:bookmarkStart w:id="40" w:name="_Ref479034877"/>
      <w:bookmarkStart w:id="41" w:name="_Ref476625185"/>
      <w:bookmarkEnd w:id="38"/>
      <w:r>
        <w:rPr>
          <w:b/>
          <w:color w:val="0000FF"/>
        </w:rPr>
        <w:t>Termination Right</w:t>
      </w:r>
      <w:r>
        <w:rPr/>
        <w:t xml:space="preserve">.  Notwithstanding Buyer’s right to make an election under Section </w:t>
      </w:r>
      <w:r>
        <w:rPr/>
        <w:fldChar w:fldCharType="begin"/>
      </w:r>
      <w:r>
        <w:rPr/>
        <w:instrText xml:space="preserve"> REF _Ref476628486 \r \r \h </w:instrText>
      </w:r>
      <w:r>
        <w:rPr/>
        <w:fldChar w:fldCharType="separate"/>
      </w:r>
      <w:r>
        <w:rPr/>
        <w:t>3.1</w:t>
      </w:r>
      <w:r>
        <w:rPr/>
        <w:fldChar w:fldCharType="end"/>
      </w:r>
      <w:r>
        <w:rPr/>
        <w:t xml:space="preserve">, Buyer may alternatively elect pursuant to the LMP Election Notice to terminate this Agreement and the Transaction on a date not less than 60 days and not more than 120 days from the date of the LMP Election Notice.  Alternatively, if Buyer pursuant to an LMP Election Notice makes an election under Section </w:t>
      </w:r>
      <w:r>
        <w:rPr/>
        <w:fldChar w:fldCharType="begin"/>
      </w:r>
      <w:r>
        <w:rPr/>
        <w:instrText xml:space="preserve"> REF _Ref479037425 \r \r \h </w:instrText>
      </w:r>
      <w:r>
        <w:rPr/>
        <w:fldChar w:fldCharType="separate"/>
      </w:r>
      <w:r>
        <w:rPr/>
        <w:t>3.1</w:t>
      </w:r>
      <w:r>
        <w:rPr/>
        <w:fldChar w:fldCharType="end"/>
      </w:r>
      <w:r>
        <w:rPr/>
        <w:t>, Seller upon receipt from Buyer of the LMP Election Notice may nonetheless elect by written notice to Buyer to terminate this Agreement and the Transaction not less than 60 days and not more than 120 days from the date of the LMP Election Notice, but in any event by not later than the date LMP is to become effective.  In either case, this Agreement and the Transaction shall terminate effective as of the date of termination specified by Buyer in the LMP Election Notice or by Seller in Seller’s notice of termination (in either case, the “</w:t>
      </w:r>
      <w:r>
        <w:rPr>
          <w:b/>
        </w:rPr>
        <w:t>Notice Termination Date</w:t>
      </w:r>
      <w:r>
        <w:rPr/>
        <w:t>”).  If either Party so elects to terminate this Agreement and the Transaction:</w:t>
      </w:r>
      <w:bookmarkEnd w:id="39"/>
      <w:bookmarkEnd w:id="40"/>
      <w:bookmarkEnd w:id="41"/>
    </w:p>
    <w:p>
      <w:pPr>
        <w:pStyle w:val="NumContinue"/>
        <w:numPr>
          <w:ilvl w:val="2"/>
          <w:numId w:val="12"/>
        </w:numPr>
        <w:rPr>
          <w:lang w:val="en-US"/>
        </w:rPr>
      </w:pPr>
      <w:r>
        <w:rPr>
          <w:lang w:val="en-US"/>
        </w:rPr>
        <w:t>neither Party shall have any further liabilities under or with respect to this Agreement or the Transaction, but shall remain liable for all obligations accrued but not yet discharged to and including the Notice Termination Date;</w:t>
      </w:r>
    </w:p>
    <w:p>
      <w:pPr>
        <w:pStyle w:val="NumContinue"/>
        <w:numPr>
          <w:ilvl w:val="2"/>
          <w:numId w:val="12"/>
        </w:numPr>
        <w:rPr/>
      </w:pPr>
      <w:bookmarkStart w:id="42" w:name="_Ref476625171"/>
      <w:r>
        <w:rPr>
          <w:lang w:val="en-US"/>
        </w:rPr>
        <w:t xml:space="preserve">the electing Party (the </w:t>
      </w:r>
      <w:r>
        <w:rPr>
          <w:b/>
          <w:lang w:val="en-US"/>
        </w:rPr>
        <w:t>“Electing Party”</w:t>
      </w:r>
      <w:r>
        <w:rPr>
          <w:lang w:val="en-US"/>
        </w:rPr>
        <w:t xml:space="preserve">) shall be liable to the other Party (the </w:t>
      </w:r>
      <w:r>
        <w:rPr>
          <w:b/>
          <w:lang w:val="en-US"/>
        </w:rPr>
        <w:t>“Non-Electing Party”</w:t>
      </w:r>
      <w:r>
        <w:rPr>
          <w:lang w:val="en-US"/>
        </w:rPr>
        <w:t xml:space="preserve">) for any Early Termination Payment which it would owe to the Non-Electing Party as of the Notice Termination Date pursuant to Section </w:t>
      </w:r>
      <w:r>
        <w:rPr>
          <w:lang w:val="en-US"/>
        </w:rPr>
        <w:fldChar w:fldCharType="begin"/>
      </w:r>
      <w:r>
        <w:rPr>
          <w:lang w:val="en-US"/>
        </w:rPr>
        <w:instrText xml:space="preserve"> REF _Ref471207772 \r \r \h </w:instrText>
      </w:r>
      <w:r>
        <w:rPr>
          <w:lang w:val="en-US"/>
        </w:rPr>
        <w:fldChar w:fldCharType="separate"/>
      </w:r>
      <w:r>
        <w:rPr>
          <w:lang w:val="en-US"/>
        </w:rPr>
        <w:t>7.2</w:t>
      </w:r>
      <w:r>
        <w:rPr>
          <w:lang w:val="en-US"/>
        </w:rPr>
        <w:fldChar w:fldCharType="end"/>
      </w:r>
      <w:r>
        <w:rPr>
          <w:lang w:val="en-US"/>
        </w:rPr>
        <w:t xml:space="preserve"> as if the Electing Party is the Defaulting Party, the Non-Electing Party is the Non-Defaulting Party, and the Notice Termination Date is the Early Termination Date; and</w:t>
      </w:r>
      <w:bookmarkEnd w:id="42"/>
    </w:p>
    <w:p>
      <w:pPr>
        <w:pStyle w:val="NumContinue"/>
        <w:numPr>
          <w:ilvl w:val="2"/>
          <w:numId w:val="12"/>
        </w:numPr>
        <w:rPr/>
      </w:pPr>
      <w:r>
        <w:rPr>
          <w:lang w:val="en-US"/>
        </w:rPr>
        <w:t xml:space="preserve">the Electing Party shall not be entitled to, and waives any right to, any Early Termination Payment which it would be due from the Non-Electing Party as of the Notice Termination Date pursuant to Section </w:t>
      </w:r>
      <w:r>
        <w:rPr>
          <w:lang w:val="en-US"/>
        </w:rPr>
        <w:fldChar w:fldCharType="begin"/>
      </w:r>
      <w:r>
        <w:rPr>
          <w:lang w:val="en-US"/>
        </w:rPr>
        <w:instrText xml:space="preserve"> REF _Ref471207772 \r \r \h </w:instrText>
      </w:r>
      <w:r>
        <w:rPr>
          <w:lang w:val="en-US"/>
        </w:rPr>
        <w:fldChar w:fldCharType="separate"/>
      </w:r>
      <w:r>
        <w:rPr>
          <w:lang w:val="en-US"/>
        </w:rPr>
        <w:t>7.2</w:t>
      </w:r>
      <w:r>
        <w:rPr>
          <w:lang w:val="en-US"/>
        </w:rPr>
        <w:fldChar w:fldCharType="end"/>
      </w:r>
      <w:r>
        <w:rPr>
          <w:lang w:val="en-US"/>
        </w:rPr>
        <w:t xml:space="preserve"> as if the Electing Party is the Non-Defaulting Party, the Non-Electing Party is the Defaulting Party, and the Notice Termination Date is the Early Termination Date. </w:t>
      </w:r>
    </w:p>
    <w:p>
      <w:pPr>
        <w:pStyle w:val="Article8L2"/>
        <w:numPr>
          <w:ilvl w:val="1"/>
          <w:numId w:val="12"/>
        </w:numPr>
        <w:ind w:hanging="0" w:start="0"/>
        <w:rPr/>
      </w:pPr>
      <w:bookmarkStart w:id="43" w:name="__RefHeading___Toc480081462"/>
      <w:r>
        <w:rPr>
          <w:b/>
          <w:color w:val="0000FF"/>
        </w:rPr>
        <w:t>Liability for Consequences of LMP</w:t>
      </w:r>
      <w:r>
        <w:rPr/>
        <w:t xml:space="preserve">.  Unless and until an election of Buyer pursuant to Section </w:t>
      </w:r>
      <w:r>
        <w:rPr/>
        <w:fldChar w:fldCharType="begin"/>
      </w:r>
      <w:r>
        <w:rPr/>
        <w:instrText xml:space="preserve"> REF _Ref479037425 \r \r \h </w:instrText>
      </w:r>
      <w:r>
        <w:rPr/>
        <w:fldChar w:fldCharType="separate"/>
      </w:r>
      <w:r>
        <w:rPr/>
        <w:t>3.1</w:t>
      </w:r>
      <w:r>
        <w:rPr/>
        <w:fldChar w:fldCharType="end"/>
      </w:r>
      <w:r>
        <w:rPr/>
        <w:t xml:space="preserve"> becomes effective, or this Agreement and the Transaction provided for by this Agreement is terminated by the Electing Party pursuant to Section </w:t>
      </w:r>
      <w:r>
        <w:rPr/>
        <w:fldChar w:fldCharType="begin"/>
      </w:r>
      <w:r>
        <w:rPr/>
        <w:instrText xml:space="preserve"> REF _Ref479037464 \r \r \h </w:instrText>
      </w:r>
      <w:r>
        <w:rPr/>
        <w:fldChar w:fldCharType="separate"/>
      </w:r>
      <w:r>
        <w:rPr/>
        <w:t>3.2</w:t>
      </w:r>
      <w:r>
        <w:rPr/>
        <w:fldChar w:fldCharType="end"/>
      </w:r>
      <w:r>
        <w:rPr/>
        <w:t>, each Party shall remain liable for all of its obligations under and with respect to this Agreement and the Transaction provided for by this Agreement in accordance with the terms of this Agreement notwithstanding the introduction of LMP by the IMO.</w:t>
      </w:r>
      <w:bookmarkEnd w:id="43"/>
      <w:r>
        <w:rPr/>
        <w:t xml:space="preserve"> </w:t>
      </w:r>
    </w:p>
    <w:p>
      <w:pPr>
        <w:pStyle w:val="Article8L2"/>
        <w:numPr>
          <w:ilvl w:val="1"/>
          <w:numId w:val="12"/>
        </w:numPr>
        <w:ind w:hanging="0" w:start="0"/>
        <w:rPr/>
      </w:pPr>
      <w:bookmarkStart w:id="44" w:name="__RefHeading___Toc480081463"/>
      <w:bookmarkEnd w:id="44"/>
      <w:r>
        <w:rPr>
          <w:b/>
          <w:color w:val="0000FF"/>
        </w:rPr>
        <w:t>Pre-existing Uplift Charges</w:t>
      </w:r>
      <w:r>
        <w:rPr/>
        <w:t>. Notwithstanding the foregoing provisions of this Article 3, if Seller and/or Buyer has an obligation for a specific uplift charge pursuant to Section 2.1 prior to the introduction of LMP, and if such uplift charge is reduced or made no longer applicable after the introduction of LMP, and if such reduced or no-longer-applicable uplift charge is thereafter accounted for in LMP such that as result of the invocation of the compensating mechanism under Section 3.1, Seller, with respect to a Buyer’s pre-LMP obligation for such specific uplift charge, or Buyer, with respect to a Seller’s pre-LMP obligation for such specific uplift charge, would then be liable for all or part of the uplift charge for which the other Party is liable pursuant to Section 2.1 prior to the introduction of LMP, such other Party shall continue to be liable for such specific uplift charge as provided for in Section 2.1, and notwithstanding the introduction of LMP or the invocation of the compensating mechanism under Section 3.1.</w:t>
      </w:r>
    </w:p>
    <w:p>
      <w:pPr>
        <w:pStyle w:val="Article8L1"/>
        <w:numPr>
          <w:ilvl w:val="0"/>
          <w:numId w:val="12"/>
        </w:numPr>
        <w:ind w:hanging="0" w:start="0"/>
        <w:rPr/>
      </w:pPr>
      <w:r>
        <w:rPr>
          <w:b/>
          <w:caps/>
          <w:color w:val="0000FF"/>
        </w:rPr>
        <w:br/>
      </w:r>
      <w:bookmarkStart w:id="45" w:name="__RefHeading___Toc480081464"/>
      <w:bookmarkStart w:id="46" w:name="_Ref471206492"/>
      <w:r>
        <w:rPr>
          <w:b/>
          <w:caps/>
          <w:color w:val="0000FF"/>
        </w:rPr>
        <w:t>BILLING AND PAYMENT</w:t>
      </w:r>
      <w:bookmarkEnd w:id="45"/>
      <w:bookmarkEnd w:id="46"/>
    </w:p>
    <w:p>
      <w:pPr>
        <w:pStyle w:val="Article8L2"/>
        <w:numPr>
          <w:ilvl w:val="1"/>
          <w:numId w:val="12"/>
        </w:numPr>
        <w:ind w:hanging="0" w:start="0"/>
        <w:rPr/>
      </w:pPr>
      <w:bookmarkStart w:id="47" w:name="__RefHeading___Toc480081465"/>
      <w:bookmarkStart w:id="48" w:name="_Ref477755132"/>
      <w:bookmarkStart w:id="49" w:name="_Ref476624377"/>
      <w:bookmarkStart w:id="50" w:name="_Ref470438349"/>
      <w:r>
        <w:rPr>
          <w:b/>
          <w:color w:val="0000FF"/>
        </w:rPr>
        <w:t>Billing Statement</w:t>
      </w:r>
      <w:r>
        <w:rPr/>
        <w:t xml:space="preserve">.  On or before the first Business Day and the twelfth Business Day of each month, the Payee Party shall render to the Payor Party pursuant to Section </w:t>
      </w:r>
      <w:r>
        <w:rPr/>
        <w:fldChar w:fldCharType="begin"/>
      </w:r>
      <w:r>
        <w:rPr/>
        <w:instrText xml:space="preserve"> REF _Ref476625913 \r \r \h </w:instrText>
      </w:r>
      <w:r>
        <w:rPr/>
        <w:fldChar w:fldCharType="separate"/>
      </w:r>
      <w:r>
        <w:rPr/>
        <w:t>13.5</w:t>
      </w:r>
      <w:r>
        <w:rPr/>
        <w:fldChar w:fldCharType="end"/>
      </w:r>
      <w:r>
        <w:rPr/>
        <w:t xml:space="preserve"> a statement (the “</w:t>
      </w:r>
      <w:r>
        <w:rPr>
          <w:b/>
        </w:rPr>
        <w:t>Billing Statement</w:t>
      </w:r>
      <w:r>
        <w:rPr/>
        <w:t>”) setting forth any amount then owing by the Payor Party to the Payee Party, including, in respect of the Electricity sold by Seller under this Agreement and the Transaction, the Hourly Contract Quantity, the Scheduled amount of Electricity, the delivered amount of Electricity, the Contract Price, and any applicable GST or PST or other Taxes, each as applicable during the period since the last Billing Statement</w:t>
      </w:r>
      <w:bookmarkEnd w:id="50"/>
      <w:r>
        <w:rPr/>
        <w:t>.</w:t>
      </w:r>
      <w:bookmarkEnd w:id="47"/>
      <w:bookmarkEnd w:id="48"/>
      <w:bookmarkEnd w:id="49"/>
      <w:r>
        <w:rPr/>
        <w:t xml:space="preserve">  </w:t>
      </w:r>
    </w:p>
    <w:p>
      <w:pPr>
        <w:pStyle w:val="Article8L2"/>
        <w:numPr>
          <w:ilvl w:val="1"/>
          <w:numId w:val="12"/>
        </w:numPr>
        <w:ind w:hanging="0" w:start="0"/>
        <w:rPr/>
      </w:pPr>
      <w:bookmarkStart w:id="51" w:name="__RefHeading___Toc480081466"/>
      <w:bookmarkStart w:id="52" w:name="_Ref470579554"/>
      <w:r>
        <w:rPr>
          <w:b/>
          <w:color w:val="0000FF"/>
        </w:rPr>
        <w:t>Payments</w:t>
      </w:r>
      <w:r>
        <w:rPr/>
        <w:t xml:space="preserve">.  The Payor Party shall render to the Payee Party pursuant to Section </w:t>
      </w:r>
      <w:r>
        <w:rPr/>
        <w:fldChar w:fldCharType="begin"/>
      </w:r>
      <w:r>
        <w:rPr/>
        <w:instrText xml:space="preserve"> REF _Ref476625913 \r \r \h </w:instrText>
      </w:r>
      <w:r>
        <w:rPr/>
        <w:fldChar w:fldCharType="separate"/>
      </w:r>
      <w:r>
        <w:rPr/>
        <w:t>13.5</w:t>
      </w:r>
      <w:r>
        <w:rPr/>
        <w:fldChar w:fldCharType="end"/>
      </w:r>
      <w:r>
        <w:rPr/>
        <w:t xml:space="preserve"> payment of the amount due to Seller as set forth in the Billing Statement by the Payment Due Date.  If the Payor Party fails to pay the full amount of the invoice on the Payment Due Date, unless such amount is disputed in accordance with Section </w:t>
      </w:r>
      <w:r>
        <w:rPr/>
        <w:fldChar w:fldCharType="begin"/>
      </w:r>
      <w:r>
        <w:rPr/>
        <w:instrText xml:space="preserve"> REF _Ref470592415 \r \r \h </w:instrText>
      </w:r>
      <w:r>
        <w:rPr/>
        <w:fldChar w:fldCharType="separate"/>
      </w:r>
      <w:r>
        <w:rPr/>
        <w:t>4.3</w:t>
      </w:r>
      <w:r>
        <w:rPr/>
        <w:fldChar w:fldCharType="end"/>
      </w:r>
      <w:r>
        <w:rPr/>
        <w:t>, the Payor Party shall pay the Payee Party interest at the Interest Rate on the unpaid balance for each calendar day from the Payment Due Date until paid</w:t>
      </w:r>
      <w:bookmarkEnd w:id="52"/>
      <w:r>
        <w:rPr/>
        <w:t xml:space="preserve"> in full.</w:t>
      </w:r>
      <w:bookmarkEnd w:id="51"/>
      <w:r>
        <w:rPr/>
        <w:t xml:space="preserve"> </w:t>
      </w:r>
    </w:p>
    <w:p>
      <w:pPr>
        <w:pStyle w:val="Article8L2"/>
        <w:numPr>
          <w:ilvl w:val="1"/>
          <w:numId w:val="12"/>
        </w:numPr>
        <w:ind w:hanging="0" w:start="0"/>
        <w:rPr/>
      </w:pPr>
      <w:bookmarkStart w:id="53" w:name="__RefHeading___Toc480081467"/>
      <w:bookmarkStart w:id="54" w:name="_Ref470592415"/>
      <w:bookmarkStart w:id="55" w:name="_Ref470578149"/>
      <w:r>
        <w:rPr>
          <w:b/>
          <w:color w:val="0000FF"/>
        </w:rPr>
        <w:t>Disputed Billing Statement</w:t>
      </w:r>
      <w:r>
        <w:rPr/>
        <w:t xml:space="preserve">.  </w:t>
      </w:r>
      <w:bookmarkEnd w:id="55"/>
      <w:r>
        <w:rPr/>
        <w:t xml:space="preserve">If the Payor Party, in good faith, disputes the amount invoiced in a </w:t>
      </w:r>
      <w:r>
        <w:rPr>
          <w:color w:val="0000FF"/>
        </w:rPr>
        <w:t>Billing Statement</w:t>
      </w:r>
      <w:r>
        <w:rPr/>
        <w:t>, the Payor Party shall by the Payment Due Date provide to the Payee Party a written explanation of the dispute together with payment of any undisputed amount.  Thereupon, the Payee Party shall promptly investigate the matter in dispute and submit to the Payor Party, to the extent the Payee Party determines applicable, an adjusted statement (the “</w:t>
      </w:r>
      <w:r>
        <w:rPr>
          <w:b/>
        </w:rPr>
        <w:t>Adjusted Statement</w:t>
      </w:r>
      <w:r>
        <w:rPr/>
        <w:t xml:space="preserve">”).  If any disputed amount is agreed or, failing agreement, determined to be due by the Payor Party to the Payee Party pursuant to a </w:t>
      </w:r>
      <w:r>
        <w:rPr>
          <w:color w:val="0000FF"/>
        </w:rPr>
        <w:t>Billing Statement</w:t>
      </w:r>
      <w:r>
        <w:rPr/>
        <w:t xml:space="preserve"> or an Adjusted </w:t>
      </w:r>
      <w:r>
        <w:rPr>
          <w:color w:val="0000FF"/>
        </w:rPr>
        <w:t>Billing Statement</w:t>
      </w:r>
      <w:r>
        <w:rPr/>
        <w:t xml:space="preserve">, as applicable, the Payee Party shall forthwith submit to the Payor Party a final statement (the </w:t>
      </w:r>
      <w:r>
        <w:rPr>
          <w:b/>
        </w:rPr>
        <w:t>“Final Statement”</w:t>
      </w:r>
      <w:r>
        <w:rPr/>
        <w:t>) for such amount (the “</w:t>
      </w:r>
      <w:r>
        <w:rPr>
          <w:b/>
        </w:rPr>
        <w:t>Resolved Amount</w:t>
      </w:r>
      <w:r>
        <w:rPr/>
        <w:t xml:space="preserve">”).  The Payor Party shall pay the Resolved Amount by the fifth Business Day after receipt of the Final Statement together with interest thereon at the Interest Rate from the date of the original </w:t>
      </w:r>
      <w:r>
        <w:rPr>
          <w:color w:val="0000FF"/>
        </w:rPr>
        <w:t>Billing Statement</w:t>
      </w:r>
      <w:r>
        <w:rPr/>
        <w:t xml:space="preserve"> or the Adjusted Statement, as applicable, issued in connection with the Resolved Amount to the day of payment of the Resolved Amount in full.</w:t>
      </w:r>
      <w:bookmarkStart w:id="56" w:name="_Ref470442307"/>
      <w:bookmarkEnd w:id="53"/>
      <w:bookmarkEnd w:id="54"/>
      <w:r>
        <w:rPr/>
        <w:t xml:space="preserve"> </w:t>
      </w:r>
    </w:p>
    <w:p>
      <w:pPr>
        <w:pStyle w:val="Article8L2"/>
        <w:numPr>
          <w:ilvl w:val="1"/>
          <w:numId w:val="12"/>
        </w:numPr>
        <w:ind w:hanging="0" w:start="0"/>
        <w:rPr/>
      </w:pPr>
      <w:bookmarkStart w:id="57" w:name="__RefHeading___Toc480081468"/>
      <w:bookmarkStart w:id="58" w:name="_Ref476626005"/>
      <w:r>
        <w:rPr>
          <w:b/>
          <w:color w:val="0000FF"/>
        </w:rPr>
        <w:t>Audit</w:t>
      </w:r>
      <w:r>
        <w:rPr/>
        <w:t xml:space="preserve">. The Payor Party or any designated representative of the Payor Party may, at its sole expense and during normal working hours on any Business Day on not less than two prior Business Days’ written notice to the Payee Party, examine the books and records of the Payee Party to verify the accuracy of any </w:t>
      </w:r>
      <w:r>
        <w:rPr>
          <w:color w:val="0000FF"/>
        </w:rPr>
        <w:t>Billing Statement</w:t>
      </w:r>
      <w:r>
        <w:rPr/>
        <w:t xml:space="preserve">, Adjusted Statement, Final Statement, charge or computation made pursuant to this Agreement.  In the event it is discovered and agreed or determined that an amount has been improperly paid by the Payor Party under this Agreement, such amount shall be re-paid by the Payee Party to the Payor Party by the fifth Business Day after receipt of written notice from the Payor Party, together with interest thereon at the Interest Rate from the date such amount was originally paid by the Payor Party to the Payee Party to the date of repayment by the Payee Party to the Payor Party, of such amount in full.  No right to examine such records or to payment adjustments shall be made after the expiry of one year from the date of delivery of a </w:t>
      </w:r>
      <w:r>
        <w:rPr>
          <w:color w:val="0000FF"/>
        </w:rPr>
        <w:t>Billing Statement</w:t>
      </w:r>
      <w:r>
        <w:rPr/>
        <w:t xml:space="preserve">, Adjusted Statement, or Final Statement (whichever is the last to occur) in respect of any amount referred to therein, or from the date after any other invoice rendered in connection with any other charge or computation is made pursuant to this Agreement.  Each Party shall, until the expiry of such one-year period, retain complete copies and records of all information relevant and applicable for such purposes.  This Section </w:t>
      </w:r>
      <w:r>
        <w:rPr/>
        <w:fldChar w:fldCharType="begin"/>
      </w:r>
      <w:r>
        <w:rPr/>
        <w:instrText xml:space="preserve"> REF _Ref476626005 \r \r \h </w:instrText>
      </w:r>
      <w:r>
        <w:rPr/>
        <w:fldChar w:fldCharType="separate"/>
      </w:r>
      <w:r>
        <w:rPr/>
        <w:t>4.4</w:t>
      </w:r>
      <w:r>
        <w:rPr/>
        <w:fldChar w:fldCharType="end"/>
      </w:r>
      <w:r>
        <w:rPr/>
        <w:t xml:space="preserve"> shall survive any termination of the Transaction or this Agreement, or the expiry of the Term.</w:t>
      </w:r>
      <w:bookmarkEnd w:id="56"/>
      <w:bookmarkEnd w:id="57"/>
      <w:bookmarkEnd w:id="58"/>
      <w:r>
        <w:rPr/>
        <w:t xml:space="preserve"> </w:t>
      </w:r>
    </w:p>
    <w:p>
      <w:pPr>
        <w:pStyle w:val="Article8L1"/>
        <w:numPr>
          <w:ilvl w:val="0"/>
          <w:numId w:val="12"/>
        </w:numPr>
        <w:ind w:hanging="0" w:start="0"/>
        <w:rPr/>
      </w:pPr>
      <w:bookmarkStart w:id="59" w:name="_Ref470438319"/>
      <w:r>
        <w:rPr>
          <w:b/>
          <w:caps/>
          <w:color w:val="0000FF"/>
        </w:rPr>
        <w:br/>
      </w:r>
      <w:bookmarkStart w:id="60" w:name="__RefHeading___Toc480081469"/>
      <w:bookmarkStart w:id="61" w:name="_Ref470591980"/>
      <w:r>
        <w:rPr>
          <w:b/>
          <w:caps/>
          <w:color w:val="0000FF"/>
        </w:rPr>
        <w:t>IMO DATA, OPERATION AND MAINTENANCE</w:t>
      </w:r>
      <w:bookmarkEnd w:id="59"/>
      <w:bookmarkEnd w:id="60"/>
      <w:bookmarkEnd w:id="61"/>
      <w:r>
        <w:rPr/>
        <w:t xml:space="preserve"> </w:t>
      </w:r>
    </w:p>
    <w:p>
      <w:pPr>
        <w:pStyle w:val="Article8L2"/>
        <w:numPr>
          <w:ilvl w:val="1"/>
          <w:numId w:val="12"/>
        </w:numPr>
        <w:ind w:hanging="0" w:start="0"/>
        <w:rPr/>
      </w:pPr>
      <w:bookmarkStart w:id="62" w:name="__RefHeading___Toc480081470"/>
      <w:bookmarkStart w:id="63" w:name="_Ref479037550"/>
      <w:bookmarkStart w:id="64" w:name="_Ref476626253"/>
      <w:r>
        <w:rPr>
          <w:b/>
          <w:color w:val="0000FF"/>
        </w:rPr>
        <w:t>Access to Data; Confirmation of Deliveries</w:t>
      </w:r>
      <w:r>
        <w:rPr/>
        <w:t>.</w:t>
      </w:r>
      <w:bookmarkEnd w:id="62"/>
      <w:r>
        <w:rPr/>
        <w:t xml:space="preserve">  </w:t>
      </w:r>
    </w:p>
    <w:p>
      <w:pPr>
        <w:pStyle w:val="Article8L2"/>
        <w:numPr>
          <w:ilvl w:val="2"/>
          <w:numId w:val="12"/>
        </w:numPr>
        <w:ind w:hanging="0" w:start="0"/>
        <w:rPr/>
      </w:pPr>
      <w:r>
        <w:rPr/>
        <w:t xml:space="preserve">For verification purposes, Buyer shall be provided with copies of all information confirming and verifying the Scheduling by Seller of the Hourly Contract Quantity as herein required, and Buyer or its designated representatives shall have, or be granted access to all information confirming and verifying the Scheduling by Seller of the Hourly Contract Quantity as herein required (and Seller shall provide all consents and authorizations necessary therefor) at all times throughout the Term on at least two Business Days’ notice. </w:t>
      </w:r>
    </w:p>
    <w:p>
      <w:pPr>
        <w:pStyle w:val="Article8L2"/>
        <w:numPr>
          <w:ilvl w:val="2"/>
          <w:numId w:val="12"/>
        </w:numPr>
        <w:ind w:hanging="0" w:start="0"/>
        <w:rPr/>
      </w:pPr>
      <w:r>
        <w:rPr/>
        <w:t>If there is determined to be an inaccuracy between the amount of Electricity Scheduled by Seller and the amount of Electricity actually delivered to Buyer, at the Delivery Point, retroactive billing adjustments will be made together with interest at the Interest Rate from the date the adjusted amount was originally due or paid, as applicable, on the basis of errors found.  No billing adjustments shall be made after the expiry of one year from the delivery of a Billing Statement, Adjusted Statement or Final Statement (whichever is the last to occur) in respect of any such amount.</w:t>
      </w:r>
      <w:r>
        <w:rPr>
          <w:b/>
        </w:rPr>
        <w:t xml:space="preserve"> </w:t>
      </w:r>
      <w:r>
        <w:rPr/>
        <w:t xml:space="preserve"> This Section</w:t>
      </w:r>
      <w:bookmarkEnd w:id="64"/>
      <w:r>
        <w:rPr/>
        <w:t xml:space="preserve"> </w:t>
      </w:r>
      <w:r>
        <w:rPr/>
        <w:fldChar w:fldCharType="begin"/>
      </w:r>
      <w:r>
        <w:rPr/>
        <w:instrText xml:space="preserve"> REF _Ref476626253 \r \r \h </w:instrText>
      </w:r>
      <w:r>
        <w:rPr/>
        <w:fldChar w:fldCharType="separate"/>
      </w:r>
      <w:r>
        <w:rPr/>
        <w:t>5.1</w:t>
      </w:r>
      <w:r>
        <w:rPr/>
        <w:fldChar w:fldCharType="end"/>
      </w:r>
      <w:r>
        <w:rPr/>
        <w:t xml:space="preserve"> shall survive any termination of the Transaction or this Agreement, or the expiry of the Term.</w:t>
      </w:r>
      <w:bookmarkEnd w:id="63"/>
    </w:p>
    <w:p>
      <w:pPr>
        <w:pStyle w:val="Article8L2"/>
        <w:numPr>
          <w:ilvl w:val="1"/>
          <w:numId w:val="12"/>
        </w:numPr>
        <w:ind w:hanging="0" w:start="0"/>
        <w:rPr/>
      </w:pPr>
      <w:bookmarkStart w:id="65" w:name="__RefHeading___Toc480081473"/>
      <w:bookmarkStart w:id="66" w:name="_Ref479037565"/>
      <w:r>
        <w:rPr>
          <w:b/>
          <w:color w:val="0000FF"/>
        </w:rPr>
        <w:t>Operation and Maintenance</w:t>
      </w:r>
      <w:r>
        <w:rPr/>
        <w:t>.</w:t>
      </w:r>
      <w:bookmarkEnd w:id="65"/>
      <w:bookmarkEnd w:id="66"/>
      <w:r>
        <w:rPr/>
        <w:t xml:space="preserve">  </w:t>
      </w:r>
    </w:p>
    <w:p>
      <w:pPr>
        <w:pStyle w:val="Article8L2"/>
        <w:numPr>
          <w:ilvl w:val="2"/>
          <w:numId w:val="12"/>
        </w:numPr>
        <w:ind w:hanging="0" w:start="0"/>
        <w:rPr/>
      </w:pPr>
      <w:r>
        <w:rPr/>
        <w:t>Seller will at all times during the Term, control and operate, or cause to be controlled and operated, the Nuclear Generation Facility consistent with applicable law and Good Electric Operating Practice.</w:t>
      </w:r>
    </w:p>
    <w:p>
      <w:pPr>
        <w:pStyle w:val="NumContinue"/>
        <w:numPr>
          <w:ilvl w:val="2"/>
          <w:numId w:val="12"/>
        </w:numPr>
        <w:rPr/>
      </w:pPr>
      <w:r>
        <w:rPr/>
        <w:t xml:space="preserve">Without limitation to Sections 5.2(a) or 6.1(c), Seller shall, effective for the Commencement Date and at all times during the Term, ensure that (i) </w:t>
      </w:r>
      <w:bookmarkStart w:id="67" w:name="_Ref479037297"/>
      <w:r>
        <w:rPr/>
        <w:t>to the extent necessary for Seller to perform obligations under this Agreement and the Transaction, it has obtained, and maintains a generation license for the Nuclear Generation Facility pursuant to Section 57(c)</w:t>
      </w:r>
      <w:r>
        <w:rPr>
          <w:rFonts w:cs="Arial" w:ascii="Arial" w:hAnsi="Arial"/>
          <w:sz w:val="20"/>
        </w:rPr>
        <w:t xml:space="preserve"> </w:t>
      </w:r>
      <w:r>
        <w:rPr/>
        <w:t xml:space="preserve">of the </w:t>
      </w:r>
      <w:r>
        <w:rPr>
          <w:i/>
        </w:rPr>
        <w:t>Ontario Energy Board Act</w:t>
      </w:r>
      <w:r>
        <w:rPr/>
        <w:t xml:space="preserve"> (Ontario), (ii) the Registered Wholesale Meter(s) are properly registered with the IMO as “registered wholesale meters” under the Market Rules, and (iii) the Nuclear Generation Facility is properly registered with the IMO as “registered facilities” under the Market Rules.</w:t>
      </w:r>
    </w:p>
    <w:p>
      <w:pPr>
        <w:pStyle w:val="NumContinue"/>
        <w:numPr>
          <w:ilvl w:val="2"/>
          <w:numId w:val="12"/>
        </w:numPr>
        <w:rPr/>
      </w:pPr>
      <w:bookmarkStart w:id="68" w:name="_Ref479401320"/>
      <w:r>
        <w:rPr/>
        <w:t>Throughout the Term and for a period of one year after any termination of the Transaction or this Agreement or the expiry of the Term, Seller and Buyer shall keep complete and accurate records and all other data required for the purposes of proper administration of this Agreement.</w:t>
      </w:r>
      <w:bookmarkEnd w:id="67"/>
      <w:bookmarkEnd w:id="68"/>
    </w:p>
    <w:p>
      <w:pPr>
        <w:pStyle w:val="Article8L2"/>
        <w:numPr>
          <w:ilvl w:val="2"/>
          <w:numId w:val="12"/>
        </w:numPr>
        <w:ind w:hanging="0" w:start="0"/>
        <w:rPr/>
      </w:pPr>
      <w:bookmarkStart w:id="69" w:name="_Ref479401368"/>
      <w:bookmarkStart w:id="70" w:name="_Ref479037314"/>
      <w:r>
        <w:rPr/>
        <w:t xml:space="preserve">Without restriction to Section </w:t>
      </w:r>
      <w:r>
        <w:rPr/>
        <w:fldChar w:fldCharType="begin"/>
      </w:r>
      <w:r>
        <w:rPr/>
        <w:instrText xml:space="preserve"> REF _Ref476626005 \r \r \h </w:instrText>
      </w:r>
      <w:r>
        <w:rPr/>
        <w:fldChar w:fldCharType="separate"/>
      </w:r>
      <w:r>
        <w:rPr/>
        <w:t>4.4</w:t>
      </w:r>
      <w:r>
        <w:rPr/>
        <w:fldChar w:fldCharType="end"/>
      </w:r>
      <w:r>
        <w:rPr/>
        <w:t xml:space="preserve"> or Sections 5.2(a), 5.2(b) or 5.2(c), Seller shall maintain an up-to-date operating log of (i) the Nuclear Generation Facility hourly integrated output in MWh for each hour of the Term, and (ii) changes in operating status, including any scheduled or unscheduled maintenance, outages and testing.</w:t>
      </w:r>
      <w:bookmarkEnd w:id="69"/>
      <w:bookmarkEnd w:id="70"/>
      <w:r>
        <w:rPr/>
        <w:t xml:space="preserve">  </w:t>
      </w:r>
    </w:p>
    <w:p>
      <w:pPr>
        <w:pStyle w:val="Article8L2"/>
        <w:numPr>
          <w:ilvl w:val="1"/>
          <w:numId w:val="12"/>
        </w:numPr>
        <w:ind w:hanging="0" w:start="0"/>
        <w:rPr/>
      </w:pPr>
      <w:bookmarkStart w:id="71" w:name="__RefHeading___Toc480081476"/>
      <w:bookmarkEnd w:id="71"/>
      <w:r>
        <w:rPr>
          <w:b/>
        </w:rPr>
        <w:t>No Affect on Delivery Obligation</w:t>
      </w:r>
      <w:r>
        <w:rPr/>
        <w:t xml:space="preserve">. The compliance (or non-compliance) by Seller with its obligations pursuant to Section </w:t>
      </w:r>
      <w:r>
        <w:rPr/>
        <w:fldChar w:fldCharType="begin"/>
      </w:r>
      <w:r>
        <w:rPr/>
        <w:instrText xml:space="preserve"> REF _Ref479037550 \r \r \h </w:instrText>
      </w:r>
      <w:r>
        <w:rPr/>
        <w:fldChar w:fldCharType="separate"/>
      </w:r>
      <w:r>
        <w:rPr/>
        <w:t>5.1</w:t>
      </w:r>
      <w:r>
        <w:rPr/>
        <w:fldChar w:fldCharType="end"/>
      </w:r>
      <w:r>
        <w:rPr/>
        <w:t xml:space="preserve"> and Section </w:t>
      </w:r>
      <w:r>
        <w:rPr/>
        <w:fldChar w:fldCharType="begin"/>
      </w:r>
      <w:r>
        <w:rPr/>
        <w:instrText xml:space="preserve"> REF _Ref479037565 \r \r \h </w:instrText>
      </w:r>
      <w:r>
        <w:rPr/>
        <w:fldChar w:fldCharType="separate"/>
      </w:r>
      <w:r>
        <w:rPr/>
        <w:t>5.2</w:t>
      </w:r>
      <w:r>
        <w:rPr/>
        <w:fldChar w:fldCharType="end"/>
      </w:r>
      <w:r>
        <w:rPr/>
        <w:t xml:space="preserve"> shall not relieve Seller of any of its other obligations with respect to the Transaction, including Seller’s obligations under </w:t>
      </w:r>
      <w:r>
        <w:rPr/>
        <w:fldChar w:fldCharType="begin"/>
      </w:r>
      <w:r>
        <w:rPr/>
        <w:instrText xml:space="preserve"> REF _Ref470582633 \r \r \h </w:instrText>
      </w:r>
      <w:r>
        <w:rPr/>
        <w:fldChar w:fldCharType="separate"/>
      </w:r>
      <w:r>
        <w:rPr/>
        <w:t>Article 2</w:t>
      </w:r>
      <w:r>
        <w:rPr/>
        <w:fldChar w:fldCharType="end"/>
      </w:r>
      <w:r>
        <w:rPr/>
        <w:t>.</w:t>
      </w:r>
    </w:p>
    <w:p>
      <w:pPr>
        <w:pStyle w:val="Article8L1"/>
        <w:numPr>
          <w:ilvl w:val="0"/>
          <w:numId w:val="12"/>
        </w:numPr>
        <w:ind w:hanging="0" w:start="0"/>
        <w:rPr/>
      </w:pPr>
      <w:r>
        <w:rPr>
          <w:b/>
          <w:caps/>
          <w:color w:val="0000FF"/>
        </w:rPr>
        <w:br/>
      </w:r>
      <w:bookmarkStart w:id="72" w:name="__RefHeading___Toc480081477"/>
      <w:r>
        <w:rPr>
          <w:b/>
          <w:caps/>
          <w:color w:val="0000FF"/>
        </w:rPr>
        <w:t>REPRESENTATIONS AND WARRANTIES</w:t>
      </w:r>
      <w:bookmarkEnd w:id="72"/>
    </w:p>
    <w:p>
      <w:pPr>
        <w:pStyle w:val="Article8L2"/>
        <w:numPr>
          <w:ilvl w:val="1"/>
          <w:numId w:val="12"/>
        </w:numPr>
        <w:ind w:hanging="0" w:start="0"/>
        <w:rPr/>
      </w:pPr>
      <w:bookmarkStart w:id="73" w:name="__RefHeading___Toc480081478"/>
      <w:bookmarkStart w:id="74" w:name="_Ref471208869"/>
      <w:bookmarkEnd w:id="73"/>
      <w:r>
        <w:rPr>
          <w:b/>
          <w:color w:val="0000FF"/>
        </w:rPr>
        <w:t>Representations and Warranties</w:t>
      </w:r>
      <w:r>
        <w:rPr/>
        <w:t>.  As a material inducement to entering into this Agreement, each Party hereby represents and warrants as follows:</w:t>
      </w:r>
      <w:bookmarkEnd w:id="74"/>
    </w:p>
    <w:p>
      <w:pPr>
        <w:pStyle w:val="Article8L3"/>
        <w:numPr>
          <w:ilvl w:val="2"/>
          <w:numId w:val="12"/>
        </w:numPr>
        <w:ind w:hanging="0" w:start="0"/>
        <w:rPr/>
      </w:pPr>
      <w:r>
        <w:rPr/>
        <w:t>it is duly organized, validly existing and in good standing under the laws of the jurisdiction of its formation and is qualified to conduct its business in those jurisdictions necessary to perform this Agreement and the Transaction;</w:t>
      </w:r>
    </w:p>
    <w:p>
      <w:pPr>
        <w:pStyle w:val="Article8L3"/>
        <w:numPr>
          <w:ilvl w:val="2"/>
          <w:numId w:val="12"/>
        </w:numPr>
        <w:ind w:hanging="0" w:start="0"/>
        <w:rPr/>
      </w:pPr>
      <w:r>
        <w:rPr/>
        <w:t>the execution and delivery of this Agreement and the performance of the Transaction are within its corporate powers, have been duly authorized by all necessary corporate and other actions and approvals, and do not violate any of the terms or conditions in its governing documents or any contract to which it is a party or by which it is bound, or any law, rule, regulation, order, writ, judgment, decree or other legal or regulatory determination applicable to it;</w:t>
      </w:r>
    </w:p>
    <w:p>
      <w:pPr>
        <w:pStyle w:val="Article8L3"/>
        <w:numPr>
          <w:ilvl w:val="2"/>
          <w:numId w:val="12"/>
        </w:numPr>
        <w:ind w:hanging="0" w:start="0"/>
        <w:rPr/>
      </w:pPr>
      <w:r>
        <w:rPr/>
        <w:t>it has, or will have by the Commencement Date, all Regulatory Approvals necessary for it to perform its obligations under this Agreement and the Transaction;</w:t>
      </w:r>
    </w:p>
    <w:p>
      <w:pPr>
        <w:pStyle w:val="Article8L3"/>
        <w:numPr>
          <w:ilvl w:val="2"/>
          <w:numId w:val="12"/>
        </w:numPr>
        <w:ind w:hanging="0" w:start="0"/>
        <w:rPr/>
      </w:pPr>
      <w:r>
        <w:rPr/>
        <w:t>this Agreement constitutes a legal, valid and binding obligation of it enforceable against it in accordance with its terms;</w:t>
      </w:r>
    </w:p>
    <w:p>
      <w:pPr>
        <w:pStyle w:val="Article8L3"/>
        <w:numPr>
          <w:ilvl w:val="2"/>
          <w:numId w:val="12"/>
        </w:numPr>
        <w:ind w:hanging="0" w:start="0"/>
        <w:rPr/>
      </w:pPr>
      <w:r>
        <w:rPr/>
        <w:t>there are no bankruptcy, insolvency, reorganization, receivership, seizure, realization, arrangement or other similar proceedings pending against, or being contemplated by it, or to its knowledge threatened against it;</w:t>
      </w:r>
    </w:p>
    <w:p>
      <w:pPr>
        <w:pStyle w:val="Article8L3"/>
        <w:numPr>
          <w:ilvl w:val="2"/>
          <w:numId w:val="12"/>
        </w:numPr>
        <w:ind w:hanging="0" w:start="0"/>
        <w:rPr/>
      </w:pPr>
      <w:r>
        <w:rPr/>
        <w:t xml:space="preserve">there are no suits, proceedings, judgments, rulings or orders by or before any court or any governmental authority that materially adversely affect its ability to perform this Agreement and the Transaction; and </w:t>
      </w:r>
    </w:p>
    <w:p>
      <w:pPr>
        <w:pStyle w:val="Article8L3"/>
        <w:numPr>
          <w:ilvl w:val="2"/>
          <w:numId w:val="12"/>
        </w:numPr>
        <w:ind w:hanging="0" w:start="0"/>
        <w:rPr/>
      </w:pPr>
      <w:r>
        <w:rPr/>
        <w:t>its performance under this Agreement will be in compliance in all material respects with all applicable laws, rulings, regulations, orders, writs, judgments, decrees or other legal or regulatory determinations applicable to it.</w:t>
      </w:r>
    </w:p>
    <w:p>
      <w:pPr>
        <w:pStyle w:val="Article8L1"/>
        <w:numPr>
          <w:ilvl w:val="0"/>
          <w:numId w:val="12"/>
        </w:numPr>
        <w:ind w:hanging="0" w:start="0"/>
        <w:rPr/>
      </w:pPr>
      <w:r>
        <w:rPr>
          <w:b/>
          <w:caps/>
          <w:color w:val="0000FF"/>
        </w:rPr>
        <w:br/>
      </w:r>
      <w:bookmarkStart w:id="75" w:name="__RefHeading___Toc480081479"/>
      <w:r>
        <w:rPr>
          <w:b/>
          <w:caps/>
          <w:color w:val="0000FF"/>
        </w:rPr>
        <w:t>EVENTS OF DEFAULT AND REMEDIES</w:t>
      </w:r>
      <w:bookmarkEnd w:id="75"/>
    </w:p>
    <w:p>
      <w:pPr>
        <w:pStyle w:val="Article8L2"/>
        <w:numPr>
          <w:ilvl w:val="1"/>
          <w:numId w:val="12"/>
        </w:numPr>
        <w:ind w:hanging="0" w:start="0"/>
        <w:rPr/>
      </w:pPr>
      <w:bookmarkStart w:id="76" w:name="__RefHeading___Toc480081480"/>
      <w:bookmarkStart w:id="77" w:name="_Ref471213891"/>
      <w:bookmarkStart w:id="78" w:name="_Ref471206387"/>
      <w:bookmarkEnd w:id="76"/>
      <w:r>
        <w:rPr>
          <w:b/>
          <w:color w:val="0000FF"/>
        </w:rPr>
        <w:t>Events of Default</w:t>
      </w:r>
      <w:r>
        <w:rPr/>
        <w:t>.  An “</w:t>
      </w:r>
      <w:r>
        <w:rPr>
          <w:b/>
        </w:rPr>
        <w:t>Event of Default</w:t>
      </w:r>
      <w:r>
        <w:rPr/>
        <w:t xml:space="preserve">” means, with respect to a Party </w:t>
      </w:r>
      <w:bookmarkEnd w:id="78"/>
      <w:r>
        <w:rPr/>
        <w:t>(the “</w:t>
      </w:r>
      <w:r>
        <w:rPr>
          <w:b/>
        </w:rPr>
        <w:t>Defaulting Party</w:t>
      </w:r>
      <w:r>
        <w:rPr/>
        <w:t>”):</w:t>
      </w:r>
      <w:bookmarkEnd w:id="77"/>
    </w:p>
    <w:p>
      <w:pPr>
        <w:pStyle w:val="Article8L3"/>
        <w:numPr>
          <w:ilvl w:val="2"/>
          <w:numId w:val="12"/>
        </w:numPr>
        <w:ind w:hanging="0" w:start="0"/>
        <w:rPr/>
      </w:pPr>
      <w:bookmarkStart w:id="79" w:name="_Ref476625156"/>
      <w:r>
        <w:rPr/>
        <w:t>the failure by the Defaulting Party to make, when due and owing, any payment required under this Agreement if such failure is not excused by an Event of Force Majeure on the terms provided for by Article 11, or remedied within five Business Days after written notice of such failure is given to the Defaulting Party by the other Party (“</w:t>
      </w:r>
      <w:r>
        <w:rPr>
          <w:b/>
        </w:rPr>
        <w:t>Non-Defaulting Party</w:t>
      </w:r>
      <w:r>
        <w:rPr/>
        <w:t xml:space="preserve">”), provided the payment is not the subject of a good faith dispute as described in Section </w:t>
      </w:r>
      <w:r>
        <w:rPr/>
        <w:fldChar w:fldCharType="begin"/>
      </w:r>
      <w:r>
        <w:rPr/>
        <w:instrText xml:space="preserve"> REF _Ref470592415 \r \r \h </w:instrText>
      </w:r>
      <w:r>
        <w:rPr/>
        <w:fldChar w:fldCharType="separate"/>
      </w:r>
      <w:r>
        <w:rPr/>
        <w:t>4.3</w:t>
      </w:r>
      <w:r>
        <w:rPr/>
        <w:fldChar w:fldCharType="end"/>
      </w:r>
      <w:r>
        <w:rPr/>
        <w:t>; or</w:t>
      </w:r>
      <w:bookmarkEnd w:id="79"/>
    </w:p>
    <w:p>
      <w:pPr>
        <w:pStyle w:val="Article8L3"/>
        <w:numPr>
          <w:ilvl w:val="2"/>
          <w:numId w:val="12"/>
        </w:numPr>
        <w:ind w:hanging="0" w:start="0"/>
        <w:rPr/>
      </w:pPr>
      <w:r>
        <w:rPr/>
        <w:t>any representation or warranty made by the Defaulting Party in this Agreement shall prove to be false or misleading in any material respect when made, or (other than with respect to the representation and warranty made in Section 6.1(e) for which separate Events of Default are provided for in Section 7.1(f)) if, at any subsequent time during the Term, any such representation or warranty would then prove to no longer be true or to be misleading in any material respect; or</w:t>
      </w:r>
    </w:p>
    <w:p>
      <w:pPr>
        <w:pStyle w:val="Article8L3"/>
        <w:numPr>
          <w:ilvl w:val="2"/>
          <w:numId w:val="12"/>
        </w:numPr>
        <w:ind w:hanging="0" w:start="0"/>
        <w:rPr/>
      </w:pPr>
      <w:r>
        <w:rPr/>
        <w:t>the failure by the Defaulting Party to perform any covenant set forth in this Agreement (other than the events that are otherwise specifically covered in this Section </w:t>
      </w:r>
      <w:r>
        <w:rPr/>
        <w:fldChar w:fldCharType="begin"/>
      </w:r>
      <w:r>
        <w:rPr/>
        <w:instrText xml:space="preserve"> REF _Ref471213891 \r \r \h </w:instrText>
      </w:r>
      <w:r>
        <w:rPr/>
        <w:fldChar w:fldCharType="separate"/>
      </w:r>
      <w:r>
        <w:rPr/>
        <w:t>7.1</w:t>
      </w:r>
      <w:r>
        <w:rPr/>
        <w:fldChar w:fldCharType="end"/>
      </w:r>
      <w:r>
        <w:rPr/>
        <w:t xml:space="preserve"> as a separate Event of Default) and such failure is not excused by an Event of Force Majeure on the terms provided for by </w:t>
      </w:r>
      <w:r>
        <w:rPr/>
        <w:fldChar w:fldCharType="begin"/>
      </w:r>
      <w:r>
        <w:rPr/>
        <w:instrText xml:space="preserve"> REF _Ref470443289 \r \r \h </w:instrText>
      </w:r>
      <w:r>
        <w:rPr/>
        <w:fldChar w:fldCharType="separate"/>
      </w:r>
      <w:r>
        <w:rPr/>
        <w:t>Article 11</w:t>
      </w:r>
      <w:r>
        <w:rPr/>
        <w:fldChar w:fldCharType="end"/>
      </w:r>
      <w:r>
        <w:rPr/>
        <w:t xml:space="preserve"> or remedied within five Business Days after written notice of such failure is given to the Defaulting Party by the Non-Defaulting Party; or </w:t>
      </w:r>
    </w:p>
    <w:p>
      <w:pPr>
        <w:pStyle w:val="Article8L3"/>
        <w:numPr>
          <w:ilvl w:val="2"/>
          <w:numId w:val="12"/>
        </w:numPr>
        <w:ind w:hanging="0" w:start="0"/>
        <w:rPr/>
      </w:pPr>
      <w:r>
        <w:rPr/>
        <w:t xml:space="preserve">unless excused by an Event of Force Majeure on the terms provided for by Article 11, in the case of Seller as the Defaulting Party, notwithstanding, and without limitation to Buyer’s rights and remedies for a Seller’s Deficiency pursuant to Section </w:t>
      </w:r>
      <w:r>
        <w:rPr/>
        <w:fldChar w:fldCharType="begin"/>
      </w:r>
      <w:r>
        <w:rPr/>
        <w:instrText xml:space="preserve"> REF _Ref476625339 \r \r \h </w:instrText>
      </w:r>
      <w:r>
        <w:rPr/>
        <w:fldChar w:fldCharType="separate"/>
      </w:r>
      <w:r>
        <w:rPr/>
        <w:t>2.4</w:t>
      </w:r>
      <w:r>
        <w:rPr/>
        <w:fldChar w:fldCharType="end"/>
      </w:r>
      <w:r>
        <w:rPr/>
        <w:t xml:space="preserve">, Seller’s failure to deliver, or cause to be delivered, pursuant to the Transaction all or any part of the Hourly Contract Quantity for 48 hours, in aggregate, in any 30-day period immediately preceding, and including, the date of determination; or, for any period of 40 consecutive hours; or, on 12 occasions in any 365-day period immediately preceding, and including, the date of determination; </w:t>
      </w:r>
    </w:p>
    <w:p>
      <w:pPr>
        <w:pStyle w:val="Article8L3"/>
        <w:numPr>
          <w:ilvl w:val="2"/>
          <w:numId w:val="12"/>
        </w:numPr>
        <w:ind w:hanging="0" w:start="0"/>
        <w:rPr/>
      </w:pPr>
      <w:r>
        <w:rPr/>
        <w:t xml:space="preserve">unless excused by an Event of Force Majeure on the terms provided for by Article 11, in the case of Buyer as the Defaulting Party, notwithstanding, and without limitation to Seller’s rights and remedies for a Buyer’s Deficiency pursuant to Section </w:t>
      </w:r>
      <w:r>
        <w:rPr/>
        <w:fldChar w:fldCharType="begin"/>
      </w:r>
      <w:r>
        <w:rPr/>
        <w:instrText xml:space="preserve"> REF _Ref476626468 \r \r \h </w:instrText>
      </w:r>
      <w:r>
        <w:rPr/>
        <w:fldChar w:fldCharType="separate"/>
      </w:r>
      <w:r>
        <w:rPr/>
        <w:t>2.5</w:t>
      </w:r>
      <w:r>
        <w:rPr/>
        <w:fldChar w:fldCharType="end"/>
      </w:r>
      <w:r>
        <w:rPr/>
        <w:t xml:space="preserve">, Buyer’s failure to receive, or cause to be received, pursuant to the Transaction all or any part of the Hourly Contract Quantity for 48 hours, in aggregate, in any 30-day period immediately preceding, and including, the date of determination; or, for any period of 40 consecutive hours; or, on 12 occasions in any 365-day period immediately preceding, and including, the date of determination; </w:t>
      </w:r>
    </w:p>
    <w:p>
      <w:pPr>
        <w:pStyle w:val="Article8L3"/>
        <w:numPr>
          <w:ilvl w:val="2"/>
          <w:numId w:val="12"/>
        </w:numPr>
        <w:ind w:hanging="0" w:start="0"/>
        <w:rPr/>
      </w:pPr>
      <w:r>
        <w:rPr/>
        <w:t>the occurrence of any of the following events:</w:t>
      </w:r>
    </w:p>
    <w:p>
      <w:pPr>
        <w:pStyle w:val="Article8L4"/>
        <w:numPr>
          <w:ilvl w:val="3"/>
          <w:numId w:val="12"/>
        </w:numPr>
        <w:ind w:hanging="0" w:start="0"/>
        <w:rPr/>
      </w:pPr>
      <w:r>
        <w:rPr/>
        <w:t>the Defaulting Party or Buyer’s Guarantor, with respect to Buyer as the Defaulting Party, or Seller’s Guarantor, with respect to Seller as the Defaulting Party, shall make an assignment or arrangement for the benefit of, or protection from any of its creditors;</w:t>
      </w:r>
    </w:p>
    <w:p>
      <w:pPr>
        <w:pStyle w:val="Article8L4"/>
        <w:numPr>
          <w:ilvl w:val="3"/>
          <w:numId w:val="12"/>
        </w:numPr>
        <w:ind w:hanging="0" w:start="0"/>
        <w:rPr>
          <w:i/>
          <w:i/>
        </w:rPr>
      </w:pPr>
      <w:r>
        <w:rPr/>
        <w:t>the Defaulting Party or Buyer’s Guarantor, with respect to Buyer as the Defaulting Party, or Seller’s Guarantor, with respect to Seller as the Defaulting Party,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or shall permit any material portion of its assets to be made subject to any seizure or realization;</w:t>
      </w:r>
    </w:p>
    <w:p>
      <w:pPr>
        <w:pStyle w:val="Article8L4"/>
        <w:numPr>
          <w:ilvl w:val="3"/>
          <w:numId w:val="12"/>
        </w:numPr>
        <w:ind w:hanging="0" w:start="0"/>
        <w:rPr>
          <w:i/>
          <w:i/>
        </w:rPr>
      </w:pPr>
      <w:r>
        <w:rPr/>
        <w:t>the Defaulting Party or Buyer’s Guarantor, with respect to Buyer as the Defaulting Party, or Seller’s Guarantor, with respect to Seller as the Defaulting Party,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30 days;</w:t>
      </w:r>
    </w:p>
    <w:p>
      <w:pPr>
        <w:pStyle w:val="Article8L4"/>
        <w:numPr>
          <w:ilvl w:val="3"/>
          <w:numId w:val="12"/>
        </w:numPr>
        <w:ind w:hanging="0" w:start="0"/>
        <w:rPr>
          <w:i/>
          <w:i/>
        </w:rPr>
      </w:pPr>
      <w:r>
        <w:rPr/>
        <w:t>the Defaulting Party or Buyer’s Guarantor, with respect to Buyer as the Defaulting Party, or Seller’s Guarantor, with respect to Seller as the Defaulting Party, shall otherwise become bankrupt or insolvent (however evidenced);</w:t>
      </w:r>
    </w:p>
    <w:p>
      <w:pPr>
        <w:pStyle w:val="Article8L4"/>
        <w:numPr>
          <w:ilvl w:val="3"/>
          <w:numId w:val="12"/>
        </w:numPr>
        <w:ind w:hanging="0" w:start="0"/>
        <w:rPr/>
      </w:pPr>
      <w:r>
        <w:rPr/>
        <w:t>the Defaulting Party or Buyer’s Guarantor, with respect to Buyer as the Defaulting Party, or Seller’s Guarantor, with respect to Seller as the Defaulting Party, shall be unable to pay its debts as they fall due; or</w:t>
      </w:r>
    </w:p>
    <w:p>
      <w:pPr>
        <w:pStyle w:val="Article8L4"/>
        <w:numPr>
          <w:ilvl w:val="3"/>
          <w:numId w:val="12"/>
        </w:numPr>
        <w:ind w:hanging="0" w:start="0"/>
        <w:rPr>
          <w:i/>
          <w:i/>
        </w:rPr>
      </w:pPr>
      <w:r>
        <w:rPr/>
        <w:t>pursuant to any bankruptcy, insolvency or similar law for the protection of creditors (regardless of the jurisdiction of application or competence of such law) affecting the Defaulting Party or Buyer’s Guarantor, with respect to Buyer as the Defaulting Party, or Seller’s Guarantor, with respect to Seller as the Defaulting Party, or any ruling, order, directive or pronouncement made pursuant thereto, this Agreement or the Transaction shall be terminated or deemed to be terminated; or</w:t>
      </w:r>
    </w:p>
    <w:p>
      <w:pPr>
        <w:pStyle w:val="Article8L3"/>
        <w:numPr>
          <w:ilvl w:val="2"/>
          <w:numId w:val="12"/>
        </w:numPr>
        <w:ind w:hanging="0" w:start="0"/>
        <w:rPr>
          <w:i/>
          <w:i/>
        </w:rPr>
      </w:pPr>
      <w:r>
        <w:rPr/>
        <w:t>the occurrence of a Material Adverse Change with respect to the Defaulting Party, provided such Material Adverse Change shall not be considered an Event of Default if the Defaulting Party immediately (and in any event within two Business Days after written notice from the Non-Defaulting Party) establishes and maintains, throughout the Term for so long as the Material Adverse Change is continuing, Acceptable Credit Support in favour of the Non-Defaulting Party in an amount equal to the Non-Defaulting Party’s Early Termination Payment as at the date of the Material Adverse Change and adjusted on the tenth Business Day thereafter and each succeeding tenth Business Day thereafter to reflect the Non-Defaulting Party’s Early Termination Payment at that point in time (in each case, rounding upwards for any fractional amount to the next $500,000); or</w:t>
      </w:r>
    </w:p>
    <w:p>
      <w:pPr>
        <w:pStyle w:val="Article8L3"/>
        <w:numPr>
          <w:ilvl w:val="2"/>
          <w:numId w:val="12"/>
        </w:numPr>
        <w:ind w:hanging="0" w:start="0"/>
        <w:rPr>
          <w:i/>
          <w:i/>
        </w:rPr>
      </w:pPr>
      <w:r>
        <w:rPr/>
        <w:t>the Defaulting Party fails to establish, maintain, extend or increase Acceptable Credit Support when required pursuant to this Agreement; or</w:t>
      </w:r>
    </w:p>
    <w:p>
      <w:pPr>
        <w:pStyle w:val="Article8L3"/>
        <w:numPr>
          <w:ilvl w:val="2"/>
          <w:numId w:val="12"/>
        </w:numPr>
        <w:ind w:hanging="0" w:start="0"/>
        <w:rPr>
          <w:i/>
          <w:i/>
        </w:rPr>
      </w:pPr>
      <w:r>
        <w:rPr/>
        <w:t>with respect to Buyer, at any time, Buyer’s Guarantor shall have defaulted on its obligations for indebtedness to other Persons, resulting in obligations for indebtedness of Buyer’s Guarantor in excess of U.S. $100,000,000 being accelerated, or capable of becoming accelerated; or</w:t>
      </w:r>
    </w:p>
    <w:p>
      <w:pPr>
        <w:pStyle w:val="Article8L3"/>
        <w:numPr>
          <w:ilvl w:val="2"/>
          <w:numId w:val="12"/>
        </w:numPr>
        <w:ind w:hanging="0" w:start="0"/>
        <w:rPr>
          <w:i/>
          <w:i/>
        </w:rPr>
      </w:pPr>
      <w:r>
        <w:rPr/>
        <w:t>with respect to Seller, at any time, Seller’s Guarantor shall have defaulted on its obligations for indebtedness to other Persons, resulting in obligations for indebtedness of Seller’s Guarantor in excess of U.S. $100,000,000 being accelerated, or capable of becoming accelerated; or</w:t>
      </w:r>
    </w:p>
    <w:p>
      <w:pPr>
        <w:pStyle w:val="Article8L3"/>
        <w:numPr>
          <w:ilvl w:val="2"/>
          <w:numId w:val="12"/>
        </w:numPr>
        <w:ind w:hanging="0" w:start="0"/>
        <w:rPr/>
      </w:pPr>
      <w:r>
        <w:rPr/>
        <w:t xml:space="preserve">Buyer’s Guarantor, in respect of Buyer as the Defaulting Party, or Seller’s Guarantor in respect of Seller as the Defaulting Party, fails to perform any covenant set forth in the Guarantee Agreement it delivered in respect of this Agreement, any representation or warranty made in such Guarantee Agreement shall prove to have been false or misleading in any material respect when made or when deemed to be repeated, or the Guarantee Agreement shall, other than as expressly permitted therein, shall expire, be terminated, or in any way cease to guarantee the obligations of such Party as the Defaulting Party under this Agreement or the Transaction.  </w:t>
      </w:r>
    </w:p>
    <w:p>
      <w:pPr>
        <w:pStyle w:val="Article8L2"/>
        <w:keepNext w:val="true"/>
        <w:numPr>
          <w:ilvl w:val="1"/>
          <w:numId w:val="12"/>
        </w:numPr>
        <w:ind w:hanging="0" w:start="0"/>
        <w:rPr/>
      </w:pPr>
      <w:bookmarkStart w:id="80" w:name="__RefHeading___Toc480081481"/>
      <w:bookmarkStart w:id="81" w:name="_Ref471207772"/>
      <w:bookmarkEnd w:id="80"/>
      <w:r>
        <w:rPr>
          <w:b/>
          <w:color w:val="0000FF"/>
        </w:rPr>
        <w:t>Remedies Upon an Event of Default</w:t>
      </w:r>
      <w:r>
        <w:rPr/>
        <w:t>.</w:t>
      </w:r>
      <w:bookmarkEnd w:id="81"/>
    </w:p>
    <w:p>
      <w:pPr>
        <w:pStyle w:val="Article8L3"/>
        <w:numPr>
          <w:ilvl w:val="2"/>
          <w:numId w:val="12"/>
        </w:numPr>
        <w:ind w:hanging="0" w:start="0"/>
        <w:rPr/>
      </w:pPr>
      <w:bookmarkStart w:id="82" w:name="_Ref476624692"/>
      <w:bookmarkStart w:id="83" w:name="_Ref471212707"/>
      <w:r>
        <w:rPr/>
        <w:t>If an Event of Default occurs with respect to a Defaulting Party at any time during the Term, then the Non-Defaulting Party may, in its sole discretion, for so long as the Event of Default is unremedied and continuing (i) by no more than 20 days notice to the Defaulting Party, designate a day (which date shall be no earlier than the date on which such notice is effective) (the “</w:t>
      </w:r>
      <w:r>
        <w:rPr>
          <w:b/>
        </w:rPr>
        <w:t>Early Termination Date</w:t>
      </w:r>
      <w:r>
        <w:rPr/>
        <w:t xml:space="preserve">”) on which this Agreement and the Transaction shall terminate, and (ii) withhold any payments due in respect of this Agreement and the Transaction.  Notwithstanding the foregoing, upon the occurrence of any Event of Default listed in item (f) of Section </w:t>
      </w:r>
      <w:r>
        <w:rPr/>
        <w:fldChar w:fldCharType="begin"/>
      </w:r>
      <w:r>
        <w:rPr/>
        <w:instrText xml:space="preserve"> REF _Ref471213891 \r \r \h </w:instrText>
      </w:r>
      <w:r>
        <w:rPr/>
        <w:fldChar w:fldCharType="separate"/>
      </w:r>
      <w:r>
        <w:rPr/>
        <w:t>7.1</w:t>
      </w:r>
      <w:r>
        <w:rPr/>
        <w:fldChar w:fldCharType="end"/>
      </w:r>
      <w:r>
        <w:rPr/>
        <w:t xml:space="preserve">, this Agreement and the Transaction shall automatically terminate, without notice, act or formality, effective immediately prior to the occurrence of any such Event of Default and the Early Termination Date shall be deemed to be the date of the occurrence of such Event of Default.  If, pursuant to this Section </w:t>
      </w:r>
      <w:r>
        <w:rPr/>
        <w:fldChar w:fldCharType="begin"/>
      </w:r>
      <w:r>
        <w:rPr/>
        <w:instrText xml:space="preserve"> REF _Ref471207772 \r \r \h </w:instrText>
      </w:r>
      <w:r>
        <w:rPr/>
        <w:fldChar w:fldCharType="separate"/>
      </w:r>
      <w:r>
        <w:rPr/>
        <w:t>7.2</w:t>
      </w:r>
      <w:r>
        <w:rPr/>
        <w:fldChar w:fldCharType="end"/>
      </w:r>
      <w:r>
        <w:rPr/>
        <w:t xml:space="preserve">, (i) the Non-Defaulting Party elects to terminate this Agreement and the Transaction, or (ii) this Agreement and the Transaction automatically terminates as a result of the occurrence of any Event of Default listed in item (f) of Section </w:t>
      </w:r>
      <w:r>
        <w:rPr/>
        <w:fldChar w:fldCharType="begin"/>
      </w:r>
      <w:r>
        <w:rPr/>
        <w:instrText xml:space="preserve"> REF _Ref471213891 \r \r \h </w:instrText>
      </w:r>
      <w:r>
        <w:rPr/>
        <w:fldChar w:fldCharType="separate"/>
      </w:r>
      <w:r>
        <w:rPr/>
        <w:t>7.1</w:t>
      </w:r>
      <w:r>
        <w:rPr/>
        <w:fldChar w:fldCharType="end"/>
      </w:r>
      <w:r>
        <w:rPr/>
        <w:t xml:space="preserve">, the Non-Defaulting Party shall in good faith calculate its resulting Gains, Losses and Costs.  The Gains and Losses shall be determined by comparing the present value of the Transaction, including the Hourly Contract Quantity, Total Contract Quantity and the Contract Price, over the remaining portion of the Term to equivalent transactions, based upon the arithmetic average (if more than one) of as many available (but in any case not more than three) independent market quotations as quoted by arms’-length, third party dealers active in the electricity trading or swap contracts market in (but not necessarily located in) Ontario as selected by the Non-Defaulting Party, and adjusted, as applicable, for any locational or transmission differentials.  The Defaulting Party shall, notwithstanding any of the provisions of Article 4, within five Business Days of such notice from the Non-Defaulting Party, pay to the Non-Defaulting Party, as liquidated damages and not as a penalty, together with any of the amounts referred to in Section 7.2(b), the aggregate amount of the Non-Defaulting Party’s Losses and Costs, less its aggregate Gains (the </w:t>
      </w:r>
      <w:r>
        <w:rPr>
          <w:b/>
        </w:rPr>
        <w:t>“Early Termination Payment”</w:t>
      </w:r>
      <w:r>
        <w:rPr/>
        <w:t>) together with interest at the Interest Rate from the Early Termination Date until paid in full.  If the Non-Defaulting Party's aggregate Gains exceeds its aggregate Losses and Costs, the amount of the Early Termination Payment shall be zero.</w:t>
      </w:r>
      <w:bookmarkEnd w:id="83"/>
      <w:r>
        <w:rPr/>
        <w:t xml:space="preserve">  For certainty, the Non-Defaulting Party shall not be required to enter into any replacement transaction in order to determine or be entitled to the Early Termination Payment.</w:t>
      </w:r>
      <w:bookmarkEnd w:id="82"/>
      <w:r>
        <w:rPr/>
        <w:t xml:space="preserve"> </w:t>
      </w:r>
    </w:p>
    <w:p>
      <w:pPr>
        <w:pStyle w:val="Article8L3"/>
        <w:numPr>
          <w:ilvl w:val="2"/>
          <w:numId w:val="12"/>
        </w:numPr>
        <w:ind w:hanging="0" w:start="0"/>
        <w:rPr/>
      </w:pPr>
      <w:bookmarkStart w:id="84" w:name="_Ref476626633"/>
      <w:r>
        <w:rPr/>
        <w:t>The Defaulting Party shall also pay to the Non-Defaulting Party with the Early Termination Payment all additional amounts payable but not yet paid by it pursuant to this Agreement and the Transaction, and all such amounts shall be netted and aggregated, as applicable, with, be included in, and form part of, any Early Termination Payment payable hereunder.</w:t>
      </w:r>
      <w:bookmarkEnd w:id="84"/>
    </w:p>
    <w:p>
      <w:pPr>
        <w:pStyle w:val="Article8L3"/>
        <w:numPr>
          <w:ilvl w:val="2"/>
          <w:numId w:val="12"/>
        </w:numPr>
        <w:ind w:hanging="0" w:start="0"/>
        <w:rPr/>
      </w:pPr>
      <w:bookmarkStart w:id="85" w:name="_Ref472410032"/>
      <w:r>
        <w:rPr/>
        <w:t>For purposes of Section 7.2(a):</w:t>
      </w:r>
      <w:bookmarkEnd w:id="85"/>
    </w:p>
    <w:p>
      <w:pPr>
        <w:pStyle w:val="Article8L4"/>
        <w:numPr>
          <w:ilvl w:val="3"/>
          <w:numId w:val="12"/>
        </w:numPr>
        <w:ind w:hanging="0" w:start="0"/>
        <w:rPr/>
      </w:pPr>
      <w:bookmarkStart w:id="86" w:name="_Ref476624478"/>
      <w:r>
        <w:rPr/>
        <w:t>“</w:t>
      </w:r>
      <w:r>
        <w:rPr>
          <w:b/>
        </w:rPr>
        <w:t>Costs</w:t>
      </w:r>
      <w:r>
        <w:rPr/>
        <w:t>” means brokerage fees, commissions and other similar costs and expenses reasonably incurred by a Party either in terminating any arrangements pursuant to which it has hedged its obligations for the transaction provided for under this Agreement, or for entering into any new arrangements to replace the Transaction and this Agreement, and all legal fees and expenses incurred in connection with enforcing its rights under this Agreement.</w:t>
      </w:r>
      <w:bookmarkEnd w:id="86"/>
    </w:p>
    <w:p>
      <w:pPr>
        <w:pStyle w:val="Article8L4"/>
        <w:numPr>
          <w:ilvl w:val="3"/>
          <w:numId w:val="12"/>
        </w:numPr>
        <w:ind w:hanging="0" w:start="0"/>
        <w:rPr/>
      </w:pPr>
      <w:bookmarkStart w:id="87" w:name="_Ref476625062"/>
      <w:r>
        <w:rPr/>
        <w:t>“</w:t>
      </w:r>
      <w:r>
        <w:rPr>
          <w:b/>
        </w:rPr>
        <w:t>Gains</w:t>
      </w:r>
      <w:r>
        <w:rPr/>
        <w:t>” means, if any, an amount equal to the present value, discounted using the Present Value Discount Rate, of the economic benefit (exclusive of Costs) to a Party resulting from the termination of the Transaction and this Agreement.</w:t>
      </w:r>
      <w:bookmarkEnd w:id="87"/>
    </w:p>
    <w:p>
      <w:pPr>
        <w:pStyle w:val="Article8L4"/>
        <w:numPr>
          <w:ilvl w:val="3"/>
          <w:numId w:val="12"/>
        </w:numPr>
        <w:ind w:hanging="0" w:start="0"/>
        <w:rPr/>
      </w:pPr>
      <w:bookmarkStart w:id="88" w:name="_Ref476625128"/>
      <w:r>
        <w:rPr/>
        <w:t>“</w:t>
      </w:r>
      <w:r>
        <w:rPr>
          <w:b/>
        </w:rPr>
        <w:t>Losses</w:t>
      </w:r>
      <w:r>
        <w:rPr/>
        <w:t>” means, if any, an amount equal to the present value, discounted using the Present Value Discount Rate, of the economic loss (exclusive of Costs) to a Party resulting from the termination of the Transaction and this Agreement.</w:t>
      </w:r>
      <w:bookmarkEnd w:id="88"/>
    </w:p>
    <w:p>
      <w:pPr>
        <w:pStyle w:val="Article8L2"/>
        <w:numPr>
          <w:ilvl w:val="2"/>
          <w:numId w:val="12"/>
        </w:numPr>
        <w:ind w:hanging="0" w:start="0"/>
        <w:rPr/>
      </w:pPr>
      <w:r>
        <w:rPr/>
        <w:t xml:space="preserve">In no event, however, shall a Party's Gains, Losses or Costs include any penalties, ratcheted demand, stranded costs or similar charges. </w:t>
      </w:r>
    </w:p>
    <w:p>
      <w:pPr>
        <w:pStyle w:val="Article8L1"/>
        <w:numPr>
          <w:ilvl w:val="0"/>
          <w:numId w:val="12"/>
        </w:numPr>
        <w:ind w:hanging="0" w:start="0"/>
        <w:rPr>
          <w:color w:val="0000FF"/>
        </w:rPr>
      </w:pPr>
      <w:r>
        <w:rPr>
          <w:b/>
          <w:caps/>
          <w:color w:val="0000FF"/>
        </w:rPr>
        <w:br/>
      </w:r>
      <w:bookmarkStart w:id="89" w:name="__RefHeading___Toc480081483"/>
      <w:r>
        <w:rPr>
          <w:b/>
          <w:color w:val="0000FF"/>
        </w:rPr>
        <w:t>EXPOSURE THRESHOLDS; COLLATERAL REQUIREMENT</w:t>
      </w:r>
      <w:bookmarkEnd w:id="89"/>
    </w:p>
    <w:p>
      <w:pPr>
        <w:pStyle w:val="Article8L2"/>
        <w:numPr>
          <w:ilvl w:val="1"/>
          <w:numId w:val="12"/>
        </w:numPr>
        <w:ind w:hanging="0" w:start="0"/>
        <w:rPr>
          <w:b/>
          <w:i/>
          <w:i/>
        </w:rPr>
      </w:pPr>
      <w:bookmarkStart w:id="90" w:name="__RefHeading___Toc480081484"/>
      <w:bookmarkStart w:id="91" w:name="_Ref476624236"/>
      <w:bookmarkEnd w:id="90"/>
      <w:r>
        <w:rPr>
          <w:b/>
          <w:color w:val="0000FF"/>
        </w:rPr>
        <w:t>Seller’s Collateral Requirement</w:t>
      </w:r>
      <w:r>
        <w:rPr/>
        <w:t>.  If at any time and from time to time during the Term (and notwithstanding whether an Event of Default has occurred, including any obligations of Seller and rights or remedies of Buyer as a result of any Material Adverse Change):</w:t>
      </w:r>
    </w:p>
    <w:p>
      <w:pPr>
        <w:pStyle w:val="Article8L2"/>
        <w:numPr>
          <w:ilvl w:val="2"/>
          <w:numId w:val="12"/>
        </w:numPr>
        <w:ind w:hanging="0" w:start="0"/>
        <w:rPr>
          <w:color w:val="0000FF"/>
        </w:rPr>
      </w:pPr>
      <w:r>
        <w:rPr/>
        <w:t xml:space="preserve">Seller’s Guarantor shall have long-term, senior, unsecured debt not supported by third party credit enhancement that is rated by S&amp;P below “A-” and by Moody’s below “A3” but not by S&amp;P below “BBB” and by Moody’s below “Baa2”, and the amount of the Early Termination Payment that would then be owed by Seller to Buyer (as reasonably estimated by Buyer) exceeds </w:t>
      </w:r>
      <w:r>
        <w:rPr>
          <w:color w:val="0000FF"/>
        </w:rPr>
        <w:t>$50,000,000; or</w:t>
      </w:r>
    </w:p>
    <w:p>
      <w:pPr>
        <w:pStyle w:val="Article8L2"/>
        <w:numPr>
          <w:ilvl w:val="2"/>
          <w:numId w:val="12"/>
        </w:numPr>
        <w:ind w:hanging="0" w:start="0"/>
        <w:rPr>
          <w:b/>
          <w:i/>
          <w:i/>
        </w:rPr>
      </w:pPr>
      <w:r>
        <w:rPr/>
        <w:t xml:space="preserve">Seller’s Guarantor shall have long-term, senior, unsecured debt not supported by third party credit enhancement that is rated by S&amp;P below “BBB” and by Moody’s below “Baa2” but not by S&amp;P below “BBB-” and by Moody’s below “Baa3”, and the amount of the Early Termination Payment that would then be owed by Seller to Buyer (as reasonably estimated by Buyer) exceeds </w:t>
      </w:r>
      <w:r>
        <w:rPr>
          <w:color w:val="0000FF"/>
        </w:rPr>
        <w:t>$30,000,000,</w:t>
      </w:r>
    </w:p>
    <w:p>
      <w:pPr>
        <w:pStyle w:val="Article8L2"/>
        <w:numPr>
          <w:ilvl w:val="0"/>
          <w:numId w:val="0"/>
        </w:numPr>
        <w:ind w:hanging="0" w:start="720" w:end="0"/>
        <w:rPr>
          <w:b/>
          <w:i/>
          <w:i/>
        </w:rPr>
      </w:pPr>
      <w:r>
        <w:rPr/>
        <w:t xml:space="preserve">then Buyer may by notice require Seller to deliver to Buyer Acceptable Credit Support in an amount (the </w:t>
      </w:r>
      <w:r>
        <w:rPr>
          <w:b/>
        </w:rPr>
        <w:t>“Seller’s Collateral Amount”</w:t>
      </w:r>
      <w:r>
        <w:rPr/>
        <w:t xml:space="preserve">) equal to the Early Termination Payment in excess of </w:t>
      </w:r>
      <w:r>
        <w:rPr>
          <w:color w:val="0000FF"/>
        </w:rPr>
        <w:t>$50,000,000 (in the case of paragraph (a) above) or in excess of $30,000,000 (in the case of paragraph (b) above)</w:t>
      </w:r>
      <w:r>
        <w:rPr/>
        <w:t xml:space="preserve">, rounding upwards for any fractional amount to the next </w:t>
      </w:r>
      <w:r>
        <w:rPr>
          <w:color w:val="0000FF"/>
        </w:rPr>
        <w:t>$500,000</w:t>
      </w:r>
      <w:r>
        <w:rPr/>
        <w:t>.  Seller shall deliver to Buyer the Acceptable Credit Support within two Business Days of notice from Buyer.  On the tenth Business Day thereafter and each succeeding tenth Business Day thereafter, such Acceptable Credit Support shall be increased or reduced, as applicable, to the then current Seller’s Collateral Amount.</w:t>
      </w:r>
      <w:bookmarkEnd w:id="91"/>
      <w:r>
        <w:rPr/>
        <w:t xml:space="preserve">  </w:t>
      </w:r>
    </w:p>
    <w:p>
      <w:pPr>
        <w:pStyle w:val="Article8L2"/>
        <w:numPr>
          <w:ilvl w:val="1"/>
          <w:numId w:val="12"/>
        </w:numPr>
        <w:ind w:hanging="0" w:start="0"/>
        <w:rPr/>
      </w:pPr>
      <w:bookmarkStart w:id="92" w:name="__RefHeading___Toc480081488"/>
      <w:bookmarkStart w:id="93" w:name="_Ref477747544"/>
      <w:r>
        <w:rPr>
          <w:b/>
          <w:color w:val="0000FF"/>
        </w:rPr>
        <w:t>Buyer’s Collateral Requirement</w:t>
      </w:r>
      <w:r>
        <w:rPr/>
        <w:t>.  If at any time and from time to time during the Term (and notwithstanding whether an Event of Default has occurred, including any obligations of Buyer and rights or remedies of Seller as a result of any Material Adverse Change):</w:t>
      </w:r>
      <w:bookmarkEnd w:id="92"/>
      <w:r>
        <w:rPr/>
        <w:t xml:space="preserve"> </w:t>
      </w:r>
    </w:p>
    <w:p>
      <w:pPr>
        <w:pStyle w:val="Article8L2"/>
        <w:numPr>
          <w:ilvl w:val="2"/>
          <w:numId w:val="12"/>
        </w:numPr>
        <w:ind w:hanging="0" w:start="0"/>
        <w:rPr/>
      </w:pPr>
      <w:r>
        <w:rPr>
          <w:color w:val="0000FF"/>
        </w:rPr>
        <w:t xml:space="preserve">Buyer’s Guarantor shall have long-term, senior, unsecured debt not supported by third party credit enhancement that is rated by S&amp;P below “A-” and by Moody’s below “A3” but not by S&amp;P below “BBB” and by Moody’s below “Baa2”, and </w:t>
      </w:r>
      <w:r>
        <w:rPr/>
        <w:t>the amount of the Early Termination Payment that would then be owed by Buyer to Seller (as reasonably estimated by Seller) exceeds</w:t>
      </w:r>
      <w:r>
        <w:rPr>
          <w:color w:val="0000FF"/>
        </w:rPr>
        <w:t xml:space="preserve"> $50,000,000</w:t>
      </w:r>
      <w:r>
        <w:rPr/>
        <w:t xml:space="preserve">; or </w:t>
      </w:r>
    </w:p>
    <w:p>
      <w:pPr>
        <w:pStyle w:val="Article8L2"/>
        <w:numPr>
          <w:ilvl w:val="2"/>
          <w:numId w:val="12"/>
        </w:numPr>
        <w:ind w:hanging="0" w:start="0"/>
        <w:rPr/>
      </w:pPr>
      <w:r>
        <w:rPr>
          <w:color w:val="0000FF"/>
        </w:rPr>
        <w:t xml:space="preserve">Buyer’s Guarantor shall have long-term, senior, unsecured debt not supported by third party credit enhancement that is rated by S&amp;P below “BBB” and by Moody’s below “Baa2” but not by S&amp;P below “BBB-” and by Moody’s below “Baa3”, and </w:t>
      </w:r>
      <w:r>
        <w:rPr/>
        <w:t>the amount of the Early Termination Payment that would then be owed by Buyer to Seller (as reasonably estimated by Seller) exceeds</w:t>
      </w:r>
      <w:r>
        <w:rPr>
          <w:color w:val="0000FF"/>
        </w:rPr>
        <w:t xml:space="preserve"> $30,000,000</w:t>
      </w:r>
      <w:r>
        <w:rPr/>
        <w:t>,</w:t>
      </w:r>
    </w:p>
    <w:p>
      <w:pPr>
        <w:pStyle w:val="Article8L2"/>
        <w:numPr>
          <w:ilvl w:val="0"/>
          <w:numId w:val="0"/>
        </w:numPr>
        <w:ind w:hanging="0" w:start="720" w:end="0"/>
        <w:rPr/>
      </w:pPr>
      <w:r>
        <w:rPr/>
        <w:t xml:space="preserve">then Seller may by notice require Buyer to deliver to Seller Acceptable Credit Support in an amount (the </w:t>
      </w:r>
      <w:r>
        <w:rPr>
          <w:b/>
        </w:rPr>
        <w:t>“Buyer’s Collateral Amount”</w:t>
      </w:r>
      <w:r>
        <w:rPr/>
        <w:t xml:space="preserve">) equal to the Early Termination Payment in excess of </w:t>
      </w:r>
      <w:r>
        <w:rPr>
          <w:color w:val="0000FF"/>
        </w:rPr>
        <w:t xml:space="preserve">$50,000,000 </w:t>
      </w:r>
      <w:r>
        <w:rPr/>
        <w:t xml:space="preserve">(in the case of paragraph (a) above) or in excess of $30,000,000 (in the case of paragraph (b) above), rounding upwards for any fractional amount to the next </w:t>
      </w:r>
      <w:r>
        <w:rPr>
          <w:color w:val="0000FF"/>
        </w:rPr>
        <w:t>$500,000</w:t>
      </w:r>
      <w:r>
        <w:rPr/>
        <w:t>.  Buyer shall deliver to Seller the Acceptable Credit Support within two Business Days of notice from Seller.  On the tenth Business Day thereafter and each succeeding tenth Business Day thereafter, such Acceptable Credit Support shall be increased or reduced, as applicable, to the then current Buyer’s Collateral Amount.</w:t>
      </w:r>
      <w:bookmarkEnd w:id="93"/>
      <w:r>
        <w:rPr/>
        <w:t xml:space="preserve"> </w:t>
      </w:r>
    </w:p>
    <w:p>
      <w:pPr>
        <w:pStyle w:val="Article8L1"/>
        <w:numPr>
          <w:ilvl w:val="0"/>
          <w:numId w:val="12"/>
        </w:numPr>
        <w:ind w:hanging="0" w:start="0"/>
        <w:rPr/>
      </w:pPr>
      <w:r>
        <w:rPr>
          <w:b/>
          <w:caps/>
          <w:color w:val="0000FF"/>
        </w:rPr>
        <w:br/>
      </w:r>
      <w:bookmarkStart w:id="94" w:name="__RefHeading___Toc480081492"/>
      <w:r>
        <w:rPr>
          <w:b/>
          <w:caps/>
          <w:color w:val="0000FF"/>
        </w:rPr>
        <w:t>REMEDIES; LIMITATION OF LIABILITY</w:t>
      </w:r>
      <w:bookmarkEnd w:id="94"/>
    </w:p>
    <w:p>
      <w:pPr>
        <w:pStyle w:val="Article8L2"/>
        <w:numPr>
          <w:ilvl w:val="1"/>
          <w:numId w:val="12"/>
        </w:numPr>
        <w:ind w:hanging="0" w:start="0"/>
        <w:rPr/>
      </w:pPr>
      <w:bookmarkStart w:id="95" w:name="__RefHeading___Toc480081493"/>
      <w:r>
        <w:rPr>
          <w:b/>
          <w:color w:val="0000FF"/>
        </w:rPr>
        <w:t>Remedies; Limitation of Liability</w:t>
      </w:r>
      <w:r>
        <w:rPr/>
        <w:t>.  For breach of any provision of this Agreement for which an express remedy or measure of damages is provided in this Agreement, the liability of the Defaulting Party shall be determined as set forth in this Agreement and all other damages or remedies against the Defaulting Party are hereby waived.  If no express remedy or measure of damages is expressly provided, the Non-Defaulting Party shall have available to it all rights and remedies available at law or in equity, provided that the liability of the Defaulting Party shall be limited to direct damages only and all other damages, including for any indirect, consequential, punitive or exemplary damages are waived.</w:t>
      </w:r>
      <w:bookmarkEnd w:id="95"/>
      <w:r>
        <w:rPr/>
        <w:t xml:space="preserve"> </w:t>
      </w:r>
    </w:p>
    <w:p>
      <w:pPr>
        <w:pStyle w:val="Article8L2"/>
        <w:numPr>
          <w:ilvl w:val="1"/>
          <w:numId w:val="12"/>
        </w:numPr>
        <w:ind w:hanging="0" w:start="0"/>
        <w:rPr/>
      </w:pPr>
      <w:bookmarkStart w:id="96" w:name="__RefHeading___Toc480081494"/>
      <w:bookmarkEnd w:id="96"/>
      <w:r>
        <w:rPr>
          <w:b/>
          <w:color w:val="0000FF"/>
        </w:rPr>
        <w:t>Liquidated Damages</w:t>
      </w:r>
      <w:r>
        <w:rPr/>
        <w:t xml:space="preserve">. The Parties agree that the damages payable pursuant to Sections </w:t>
      </w:r>
      <w:r>
        <w:rPr/>
        <w:fldChar w:fldCharType="begin"/>
      </w:r>
      <w:r>
        <w:rPr/>
        <w:instrText xml:space="preserve"> REF _Ref476625339 \r \r \h </w:instrText>
      </w:r>
      <w:r>
        <w:rPr/>
        <w:fldChar w:fldCharType="separate"/>
      </w:r>
      <w:r>
        <w:rPr/>
        <w:t>2.4</w:t>
      </w:r>
      <w:r>
        <w:rPr/>
        <w:fldChar w:fldCharType="end"/>
      </w:r>
      <w:r>
        <w:rPr/>
        <w:t xml:space="preserve">, </w:t>
      </w:r>
      <w:r>
        <w:rPr/>
        <w:fldChar w:fldCharType="begin"/>
      </w:r>
      <w:r>
        <w:rPr/>
        <w:instrText xml:space="preserve"> REF _Ref476626853 \r \r \h </w:instrText>
      </w:r>
      <w:r>
        <w:rPr/>
        <w:fldChar w:fldCharType="separate"/>
      </w:r>
      <w:r>
        <w:rPr/>
        <w:t>2.5</w:t>
      </w:r>
      <w:r>
        <w:rPr/>
        <w:fldChar w:fldCharType="end"/>
      </w:r>
      <w:r>
        <w:rPr/>
        <w:t xml:space="preserve"> and </w:t>
      </w:r>
      <w:r>
        <w:rPr/>
        <w:fldChar w:fldCharType="begin"/>
      </w:r>
      <w:r>
        <w:rPr/>
        <w:instrText xml:space="preserve"> REF _Ref471207772 \r \r \h </w:instrText>
      </w:r>
      <w:r>
        <w:rPr/>
        <w:fldChar w:fldCharType="separate"/>
      </w:r>
      <w:r>
        <w:rPr/>
        <w:t>7.2</w:t>
      </w:r>
      <w:r>
        <w:rPr/>
        <w:fldChar w:fldCharType="end"/>
      </w:r>
      <w:r>
        <w:rPr/>
        <w:t xml:space="preserve"> are a reasonable estimation and calculation of actual liquidated damages, and each Party hereby waives the right to contest such damages as being unreasonable or as being a penalty.</w:t>
      </w:r>
    </w:p>
    <w:p>
      <w:pPr>
        <w:pStyle w:val="Article8L2"/>
        <w:numPr>
          <w:ilvl w:val="1"/>
          <w:numId w:val="12"/>
        </w:numPr>
        <w:ind w:hanging="0" w:start="0"/>
        <w:rPr/>
      </w:pPr>
      <w:bookmarkStart w:id="97" w:name="__RefHeading___Toc480081495"/>
      <w:r>
        <w:rPr>
          <w:b/>
          <w:color w:val="0000FF"/>
        </w:rPr>
        <w:t>Set Off</w:t>
      </w:r>
      <w:r>
        <w:rPr/>
        <w:t>.  Notwithstanding any other provision of this Agreement, if a Party is required to pay any amount under this Agreement to the other Party, such amount may be netted and set-off against any amount owing (under this Agreement, under any other agreement or otherwise) from such other Party to the first Party, and, without restriction, each Party is reserved all set-offs, offsets and rights for combination of accounts, retention, withholding, counterclaims, cross claims or similar rights or remedies, as the payer of an amount to whom an amount may also be owed is entitled, whether by contract (including this Agreement), law, equity or otherwise.</w:t>
      </w:r>
      <w:bookmarkEnd w:id="97"/>
      <w:r>
        <w:rPr/>
        <w:t xml:space="preserve"> </w:t>
      </w:r>
    </w:p>
    <w:p>
      <w:pPr>
        <w:pStyle w:val="Article8L2"/>
        <w:numPr>
          <w:ilvl w:val="1"/>
          <w:numId w:val="12"/>
        </w:numPr>
        <w:ind w:hanging="0" w:start="0"/>
        <w:rPr/>
      </w:pPr>
      <w:bookmarkStart w:id="98" w:name="__RefHeading___Toc480081496"/>
      <w:bookmarkEnd w:id="98"/>
      <w:r>
        <w:rPr>
          <w:b/>
          <w:color w:val="0000FF"/>
        </w:rPr>
        <w:t>Guarantees</w:t>
      </w:r>
      <w:r>
        <w:rPr/>
        <w:t>.  As security for the performance of each Party’s respective obligations under this Agreement:</w:t>
      </w:r>
    </w:p>
    <w:p>
      <w:pPr>
        <w:pStyle w:val="NumContinue"/>
        <w:numPr>
          <w:ilvl w:val="2"/>
          <w:numId w:val="12"/>
        </w:numPr>
        <w:rPr/>
      </w:pPr>
      <w:r>
        <w:rPr/>
        <w:t>Buyer’s Guarantor shall execute and deliver to Seller the Guarantee Agreement in the form attached as Exhibit “A”; and</w:t>
      </w:r>
    </w:p>
    <w:p>
      <w:pPr>
        <w:pStyle w:val="NumContinue"/>
        <w:numPr>
          <w:ilvl w:val="2"/>
          <w:numId w:val="12"/>
        </w:numPr>
        <w:rPr/>
      </w:pPr>
      <w:r>
        <w:rPr/>
        <w:t>Seller’s Guarantor shall execute and deliver to Buyer the Guarantee Agreement in the form attached as Exhibit “B”.</w:t>
      </w:r>
    </w:p>
    <w:p>
      <w:pPr>
        <w:pStyle w:val="Article8L1"/>
        <w:numPr>
          <w:ilvl w:val="0"/>
          <w:numId w:val="12"/>
        </w:numPr>
        <w:ind w:hanging="0" w:start="0"/>
        <w:rPr/>
      </w:pPr>
      <w:r>
        <w:rPr>
          <w:b/>
          <w:caps/>
          <w:color w:val="0000FF"/>
        </w:rPr>
        <w:br/>
      </w:r>
      <w:bookmarkStart w:id="99" w:name="__RefHeading___Toc480081497"/>
      <w:bookmarkStart w:id="100" w:name="_Ref477315878"/>
      <w:bookmarkStart w:id="101" w:name="_Ref470496085"/>
      <w:r>
        <w:rPr>
          <w:b/>
          <w:caps/>
          <w:color w:val="0000FF"/>
        </w:rPr>
        <w:t>CONDITIONS</w:t>
      </w:r>
      <w:bookmarkEnd w:id="101"/>
      <w:r>
        <w:rPr>
          <w:b/>
          <w:caps/>
          <w:color w:val="0000FF"/>
        </w:rPr>
        <w:t xml:space="preserve"> precedent</w:t>
      </w:r>
      <w:bookmarkEnd w:id="99"/>
      <w:bookmarkEnd w:id="100"/>
    </w:p>
    <w:p>
      <w:pPr>
        <w:pStyle w:val="Article8L2"/>
        <w:numPr>
          <w:ilvl w:val="1"/>
          <w:numId w:val="12"/>
        </w:numPr>
        <w:ind w:hanging="0" w:start="0"/>
        <w:rPr/>
      </w:pPr>
      <w:bookmarkStart w:id="102" w:name="__RefHeading___Toc480081498"/>
      <w:bookmarkStart w:id="103" w:name="_Ref470499299"/>
      <w:r>
        <w:rPr>
          <w:b/>
          <w:color w:val="0000FF"/>
        </w:rPr>
        <w:t>Buyer’s Conditions</w:t>
      </w:r>
      <w:r>
        <w:rPr/>
        <w:t>.  Each of the Buyer’s Conditions Precedent must either be satisfied, or waived by written notice from Buyer to Seller by on or the relevant date applicable to the satisfaction thereof.  If any of the Buyer’s Conditions Precedent are not satisfied, or waived by Buyer, by or on the relevant date applicable to the satisfaction thereof, this Agreement shall terminate and neither party shall have any further liabilities under or with respect to this Agreement.  The Buyer’s Conditions Precedent are for the sole and exclusive benefit of Buyer and can be waived only by Buyer in its sole and unilateral discretion.</w:t>
      </w:r>
      <w:bookmarkEnd w:id="102"/>
      <w:bookmarkEnd w:id="103"/>
      <w:r>
        <w:rPr/>
        <w:t xml:space="preserve"> </w:t>
      </w:r>
    </w:p>
    <w:p>
      <w:pPr>
        <w:pStyle w:val="Article8L2"/>
        <w:numPr>
          <w:ilvl w:val="1"/>
          <w:numId w:val="12"/>
        </w:numPr>
        <w:ind w:hanging="0" w:start="0"/>
        <w:rPr/>
      </w:pPr>
      <w:bookmarkStart w:id="104" w:name="__RefHeading___Toc480081499"/>
      <w:r>
        <w:rPr>
          <w:b/>
          <w:color w:val="0000FF"/>
        </w:rPr>
        <w:t>Seller’s Conditions</w:t>
      </w:r>
      <w:r>
        <w:rPr/>
        <w:t>.  Each of the Seller’s Conditions Precedent must either by satisfied, or waived by written notice from Seller to Buyer, by or on the relevant date applicable to the satisfaction thereof.  If any of the Seller’s Conditions Precedent are not satisfied, or waived by Seller, by or on the relevant date applicable to the satisfaction thereof, this Agreement shall terminate and neither Party shall have any further liabilities under or with respect to this Agreement.  The Seller’s Conditions Precedent are for the sole and exclusive benefit of Seller and can be waived only by Seller in its sole and unilateral discretion.</w:t>
      </w:r>
      <w:bookmarkEnd w:id="104"/>
      <w:r>
        <w:rPr/>
        <w:t xml:space="preserve"> </w:t>
      </w:r>
    </w:p>
    <w:p>
      <w:pPr>
        <w:pStyle w:val="Article8L2"/>
        <w:numPr>
          <w:ilvl w:val="1"/>
          <w:numId w:val="12"/>
        </w:numPr>
        <w:ind w:hanging="0" w:start="0"/>
        <w:rPr/>
      </w:pPr>
      <w:bookmarkStart w:id="105" w:name="__RefHeading___Toc480081500"/>
      <w:r>
        <w:rPr>
          <w:b/>
          <w:color w:val="0000FF"/>
        </w:rPr>
        <w:t>Mutual Condition Precedent</w:t>
      </w:r>
      <w:r>
        <w:rPr/>
        <w:t>. The Mutual Condition Precedent must either be satisfied, or waived by written agreement of the Parties, by or on the relevant date applicable to the satisfaction thereof.  If the Mutual Condition Precedent is not satisfied, or waived by the Parties, by or on the relevant date applicable to the satisfaction thereof, this Agreement shall terminate and neither Party shall have any further liabilities under or with respect to this Agreement.  The Mutual Condition Precedent is for the mutual benefit of the Parties and can only be waived by mutual agreement of the Parties.</w:t>
      </w:r>
      <w:bookmarkEnd w:id="105"/>
      <w:r>
        <w:rPr/>
        <w:t xml:space="preserve"> </w:t>
      </w:r>
    </w:p>
    <w:p>
      <w:pPr>
        <w:pStyle w:val="Article8L2"/>
        <w:numPr>
          <w:ilvl w:val="1"/>
          <w:numId w:val="12"/>
        </w:numPr>
        <w:ind w:hanging="0" w:start="0"/>
        <w:rPr>
          <w:b/>
        </w:rPr>
      </w:pPr>
      <w:bookmarkStart w:id="106" w:name="__RefHeading___Toc480081501"/>
      <w:bookmarkEnd w:id="106"/>
      <w:r>
        <w:rPr>
          <w:b/>
          <w:color w:val="0000FF"/>
        </w:rPr>
        <w:t>Undertaking with respect to Conditions Precedent</w:t>
      </w:r>
      <w:r>
        <w:rPr/>
        <w:t xml:space="preserve">.  Each of Seller (with respect to Seller’s Conditions Precedent) and Buyer (with respect to Buyer’s Conditions Precedent) will use all reasonable commercial efforts to fulfill the conditions precedent referred to in this </w:t>
      </w:r>
      <w:r>
        <w:rPr/>
        <w:fldChar w:fldCharType="begin"/>
      </w:r>
      <w:r>
        <w:rPr/>
        <w:instrText xml:space="preserve"> REF _Ref477315878 \r \r \h </w:instrText>
      </w:r>
      <w:r>
        <w:rPr/>
        <w:fldChar w:fldCharType="separate"/>
      </w:r>
      <w:r>
        <w:rPr/>
        <w:t>Article 10</w:t>
      </w:r>
      <w:r>
        <w:rPr/>
        <w:fldChar w:fldCharType="end"/>
      </w:r>
      <w:r>
        <w:rPr/>
        <w:t xml:space="preserve"> by or on the date applicable to the satisfaction thereof, and will at the written request of the other Party provide such other Party with a written report as to the status of the satisfaction of such Conditions Precedent.</w:t>
      </w:r>
    </w:p>
    <w:p>
      <w:pPr>
        <w:pStyle w:val="Article8L1"/>
        <w:numPr>
          <w:ilvl w:val="0"/>
          <w:numId w:val="12"/>
        </w:numPr>
        <w:ind w:hanging="0" w:start="0"/>
        <w:rPr/>
      </w:pPr>
      <w:r>
        <w:rPr>
          <w:b/>
          <w:caps/>
          <w:color w:val="0000FF"/>
        </w:rPr>
        <w:br/>
      </w:r>
      <w:bookmarkStart w:id="107" w:name="__RefHeading___Toc480081502"/>
      <w:bookmarkStart w:id="108" w:name="_Ref470443289"/>
      <w:r>
        <w:rPr>
          <w:b/>
          <w:caps/>
          <w:color w:val="0000FF"/>
        </w:rPr>
        <w:t>FORCE MAJEURE</w:t>
      </w:r>
      <w:bookmarkEnd w:id="107"/>
      <w:bookmarkEnd w:id="108"/>
    </w:p>
    <w:p>
      <w:pPr>
        <w:pStyle w:val="Article8L2"/>
        <w:numPr>
          <w:ilvl w:val="1"/>
          <w:numId w:val="12"/>
        </w:numPr>
        <w:ind w:hanging="0" w:start="0"/>
        <w:rPr/>
      </w:pPr>
      <w:bookmarkStart w:id="109" w:name="_Ref476624437"/>
      <w:bookmarkStart w:id="110" w:name="_Ref470437353"/>
      <w:r>
        <w:rPr>
          <w:b/>
          <w:color w:val="0000FF"/>
        </w:rPr>
        <w:t>Force Majeure</w:t>
      </w:r>
      <w:r>
        <w:rPr/>
        <w:t>.  If as a result of an Event of Force Majeure:</w:t>
      </w:r>
    </w:p>
    <w:p>
      <w:pPr>
        <w:pStyle w:val="Article8L2"/>
        <w:numPr>
          <w:ilvl w:val="2"/>
          <w:numId w:val="12"/>
        </w:numPr>
        <w:ind w:hanging="0" w:start="0"/>
        <w:rPr/>
      </w:pPr>
      <w:bookmarkStart w:id="111" w:name="__RefHeading___Toc480081504"/>
      <w:bookmarkEnd w:id="111"/>
      <w:r>
        <w:rPr/>
        <w:t>Seller is unable to generate at the Nuclear Generation Facility, or is unable to deliver from the Nuclear Generation Facility to the Delivery Point, all or any part of the Hourly Contract Quantity (and notwithstanding whether Seller may be able to Schedule all or any part of the Hourly Contract Quantity or to otherwise cause all or any part of the Hourly Contract Quantity to be delivered to the Delivery Point); or</w:t>
      </w:r>
    </w:p>
    <w:p>
      <w:pPr>
        <w:pStyle w:val="NumContinue"/>
        <w:numPr>
          <w:ilvl w:val="2"/>
          <w:numId w:val="12"/>
        </w:numPr>
        <w:rPr/>
      </w:pPr>
      <w:r>
        <w:rPr/>
        <w:t>Buyer is unable to receive at the Delivery Point, or is unable to transmit from the Delivery Point to, or deliver at, any Designated Ontario Load Delivery Point that amount of the Hourly Contract Quantity to be so delivered to the Ontario Load Delivery Point under a Buyer’s Contract (and notwithstanding that Buyer may be able to otherwise cause all or any part of the Hourly Contract Quantity to be received at the Delivery Point, or to be transmitted from the Delivery Point to or delivered at, any Designated Ontario Load Delivery Point),</w:t>
      </w:r>
    </w:p>
    <w:p>
      <w:pPr>
        <w:pStyle w:val="Article8L2"/>
        <w:numPr>
          <w:ilvl w:val="0"/>
          <w:numId w:val="0"/>
        </w:numPr>
        <w:ind w:hanging="0" w:start="720" w:end="0"/>
        <w:rPr/>
      </w:pPr>
      <w:r>
        <w:rPr/>
        <w:t xml:space="preserve">and provided such Party (the </w:t>
      </w:r>
      <w:r>
        <w:rPr>
          <w:b/>
        </w:rPr>
        <w:t>“Claiming Party”</w:t>
      </w:r>
      <w:r>
        <w:rPr/>
        <w:t>) gives notice and full particulars of such Event of Force Majeure to the other Party as soon as practicable after its occurrence, then the obligations of the Claiming Party and all corresponding obligations of the other Party, other than with respect to the obligations due or becoming due under this Agreement with respect to performance occurring prior to such Event of Force Majeure, shall be excused, but only to the extent they are affected by such Event of Force Majeure, from the inception and throughout the period of continuance of any such Event of Force Majeure, but, in any event, only for a period not exceeding 60 days, in the aggregate, for all Events of Force Majeure declared by the Claiming Party during any period of 365 days immediately preceding, and including, the date of determination, whereafter the Parties shall be obligated to perform notwithstanding any Event of Force Majeure.  Any such Event of Force Majeure shall, so far as possible, be remedied with all due diligence and dispatch</w:t>
      </w:r>
      <w:bookmarkEnd w:id="110"/>
      <w:r>
        <w:rPr/>
        <w:t>.</w:t>
      </w:r>
      <w:bookmarkEnd w:id="109"/>
    </w:p>
    <w:p>
      <w:pPr>
        <w:pStyle w:val="Article8L2"/>
        <w:numPr>
          <w:ilvl w:val="1"/>
          <w:numId w:val="12"/>
        </w:numPr>
        <w:ind w:hanging="0" w:start="0"/>
        <w:rPr/>
      </w:pPr>
      <w:bookmarkStart w:id="112" w:name="__RefHeading___Toc480081506"/>
      <w:bookmarkStart w:id="113" w:name="_Ref477755337"/>
      <w:r>
        <w:rPr>
          <w:b/>
          <w:color w:val="0000FF"/>
        </w:rPr>
        <w:t>Allocation of Force Majeure</w:t>
      </w:r>
      <w:r>
        <w:rPr/>
        <w:t>.</w:t>
      </w:r>
      <w:bookmarkEnd w:id="112"/>
      <w:bookmarkEnd w:id="113"/>
      <w:r>
        <w:rPr/>
        <w:t xml:space="preserve">  </w:t>
      </w:r>
    </w:p>
    <w:p>
      <w:pPr>
        <w:pStyle w:val="Article8L2"/>
        <w:numPr>
          <w:ilvl w:val="2"/>
          <w:numId w:val="12"/>
        </w:numPr>
        <w:ind w:hanging="0" w:start="0"/>
        <w:rPr/>
      </w:pPr>
      <w:r>
        <w:rPr/>
        <w:t xml:space="preserve">Subject to Section </w:t>
      </w:r>
      <w:r>
        <w:rPr/>
        <w:fldChar w:fldCharType="begin"/>
      </w:r>
      <w:r>
        <w:rPr/>
        <w:instrText xml:space="preserve"> REF _Ref477755337 \r \r \h </w:instrText>
      </w:r>
      <w:r>
        <w:rPr/>
        <w:fldChar w:fldCharType="separate"/>
      </w:r>
      <w:r>
        <w:rPr/>
        <w:t>11.2</w:t>
      </w:r>
      <w:r>
        <w:rPr/>
        <w:fldChar w:fldCharType="end"/>
      </w:r>
      <w:r>
        <w:rPr/>
        <w:fldChar w:fldCharType="begin"/>
      </w:r>
      <w:r>
        <w:rPr/>
        <w:instrText xml:space="preserve"> REF _Ref477755304 \r \r \h </w:instrText>
      </w:r>
      <w:r>
        <w:rPr/>
        <w:fldChar w:fldCharType="separate"/>
      </w:r>
      <w:r>
        <w:rPr/>
        <w:t>(b)</w:t>
      </w:r>
      <w:r>
        <w:rPr/>
        <w:fldChar w:fldCharType="end"/>
      </w:r>
      <w:r>
        <w:rPr/>
        <w:t xml:space="preserve">, if an Event of Force Majeure results in a partial curtailment of Seller’s ability to generate at the Nuclear Generation Facility, or to deliver from the Nuclear Generation Facility to the Delivery Point all or any part of the Hourly Contract Quantity, or Buyer’s ability to receive at the Delivery Point, or to transmit from the Delivery Point to, or deliver at, any Designated Ontario Load Delivery Point that amount of the Hourly Contract Quantity to be so delivered to the Ontario Load Delivery Point under a Buyer’s Contract, Seller shall nonetheless continue to be obligated to deliver and sell to Buyer, and Buyer shall continue to be obligated to nonetheless receive and purchase from Seller, that amount of the Hourly Contract Quantity which has not been curtailed as a result of an Event of Force Majeure and the provisions of this Agreement shall continue to apply thereto. </w:t>
      </w:r>
    </w:p>
    <w:p>
      <w:pPr>
        <w:pStyle w:val="Article8L2"/>
        <w:numPr>
          <w:ilvl w:val="2"/>
          <w:numId w:val="12"/>
        </w:numPr>
        <w:ind w:hanging="0" w:start="0"/>
        <w:rPr/>
      </w:pPr>
      <w:bookmarkStart w:id="114" w:name="_Ref477755304"/>
      <w:r>
        <w:rPr/>
        <w:t>If an Event of Force Majeure results in a partial curtailment of Seller’s ability to generate at the Nuclear Generation Facility, or to deliver from the Nuclear Generation Facility all or any part of the Hourly Contract Quantity, Seller shall curtail deliveries to Buyer under this Transaction and to all other Persons with Firm agreements with Seller for the purchase and sale of Electricity generated from the Nuclear Generation Facility then in effect pro rata based on the ratio of the Hourly Contract Quantity to the total quantity of Electricity (including the Hourly Contract Quantity) required to be delivered by Seller to Buyer for such hour under this Agreement and to all such other Persons under all such other Firm agreements.</w:t>
      </w:r>
      <w:bookmarkEnd w:id="114"/>
      <w:r>
        <w:rPr/>
        <w:t xml:space="preserve"> </w:t>
      </w:r>
    </w:p>
    <w:p>
      <w:pPr>
        <w:pStyle w:val="Article8L2"/>
        <w:numPr>
          <w:ilvl w:val="1"/>
          <w:numId w:val="12"/>
        </w:numPr>
        <w:ind w:hanging="0" w:start="0"/>
        <w:rPr/>
      </w:pPr>
      <w:bookmarkStart w:id="115" w:name="__RefHeading___Toc480081509"/>
      <w:bookmarkEnd w:id="115"/>
      <w:r>
        <w:rPr>
          <w:b/>
          <w:color w:val="0000FF"/>
        </w:rPr>
        <w:t>Curtailment</w:t>
      </w:r>
      <w:r>
        <w:rPr/>
        <w:t>.  If an Event of Force Majeure results in a partial curtailment of Seller’s ability to generate at the Nuclear Generation Facility, or to deliver from the Nuclear Generation Facility, or to deliver from the Nuclear Generation Facility all or any part of the Hourly Contract Quantity prior to curtailing any deliveries to Buyer under the Transaction, Seller shall first curtail all deliveries to all Persons without Firm agreements with Seller for the sale and purchase of Electricity generated from the Nuclear Generation Facility then in effect.</w:t>
      </w:r>
    </w:p>
    <w:p>
      <w:pPr>
        <w:pStyle w:val="Article8L2"/>
        <w:numPr>
          <w:ilvl w:val="1"/>
          <w:numId w:val="12"/>
        </w:numPr>
        <w:ind w:hanging="0" w:start="0"/>
        <w:rPr/>
      </w:pPr>
      <w:bookmarkStart w:id="116" w:name="__RefHeading___Toc480081510"/>
      <w:r>
        <w:rPr>
          <w:b/>
          <w:color w:val="0000FF"/>
        </w:rPr>
        <w:t>Alternate Sales/Purchases</w:t>
      </w:r>
      <w:r>
        <w:rPr/>
        <w:t>.  During periods when Seller is excused from delivering, and Buyer is excused from receiving, all or part of any Hourly Contract Quantity by reason of an Event of Force Majeure, Buyer shall have the right to purchase from other Persons, and Seller shall have the right to sell to other Persons, any such quantity of Electricity, provided that such purchases and sales will not interfere with or excuse Buyer or Seller from subsequently performing its obligations hereunder after the Event of Force Majeure has expired.</w:t>
      </w:r>
      <w:bookmarkEnd w:id="116"/>
      <w:r>
        <w:rPr/>
        <w:t xml:space="preserve"> </w:t>
      </w:r>
    </w:p>
    <w:p>
      <w:pPr>
        <w:pStyle w:val="Article8L2"/>
        <w:numPr>
          <w:ilvl w:val="1"/>
          <w:numId w:val="12"/>
        </w:numPr>
        <w:ind w:hanging="0" w:start="0"/>
        <w:rPr/>
      </w:pPr>
      <w:bookmarkStart w:id="117" w:name="__RefHeading___Toc480081511"/>
      <w:bookmarkStart w:id="118" w:name="_Ref477334968"/>
      <w:bookmarkEnd w:id="117"/>
      <w:r>
        <w:rPr>
          <w:b/>
          <w:color w:val="0000FF"/>
        </w:rPr>
        <w:t>Information; Scheduled or Planned Maintenance or Outages</w:t>
      </w:r>
      <w:r>
        <w:rPr/>
        <w:t xml:space="preserve">.  Upon the declaration by Seller as the Claiming Party of an Event of Force Majeure pursuant to Section 11.1, Seller shall upon request of Buyer provide to Buyer the schedule of maintenance, outages or testing planned for the Nuclear Generation Facility, required to be maintained by it pursuant to Sections </w:t>
      </w:r>
      <w:r>
        <w:rPr/>
        <w:fldChar w:fldCharType="begin"/>
      </w:r>
      <w:r>
        <w:rPr/>
        <w:instrText xml:space="preserve"> REF _Ref479401320 \r \r \h </w:instrText>
      </w:r>
      <w:r>
        <w:rPr/>
        <w:fldChar w:fldCharType="separate"/>
      </w:r>
      <w:r>
        <w:rPr/>
        <w:t>(c)</w:t>
      </w:r>
      <w:r>
        <w:rPr/>
        <w:fldChar w:fldCharType="end"/>
      </w:r>
      <w:r>
        <w:rPr/>
        <w:t xml:space="preserve"> and </w:t>
      </w:r>
      <w:r>
        <w:rPr/>
        <w:fldChar w:fldCharType="begin"/>
      </w:r>
      <w:r>
        <w:rPr/>
        <w:instrText xml:space="preserve"> REF _Ref479401368 \r \r \h </w:instrText>
      </w:r>
      <w:r>
        <w:rPr/>
        <w:fldChar w:fldCharType="separate"/>
      </w:r>
      <w:r>
        <w:rPr/>
        <w:t>(d)</w:t>
      </w:r>
      <w:r>
        <w:rPr/>
        <w:fldChar w:fldCharType="end"/>
      </w:r>
      <w:r>
        <w:rPr/>
        <w:t>, including any such information as submitted to the IMO in the 365-day period immediately preceding and including the date of declaration by Seller as the Claiming Party of the Event of Force Majeure.</w:t>
      </w:r>
      <w:bookmarkEnd w:id="118"/>
    </w:p>
    <w:p>
      <w:pPr>
        <w:pStyle w:val="Article8L2"/>
        <w:numPr>
          <w:ilvl w:val="1"/>
          <w:numId w:val="12"/>
        </w:numPr>
        <w:ind w:hanging="0" w:start="0"/>
        <w:rPr/>
      </w:pPr>
      <w:bookmarkStart w:id="119" w:name="__RefHeading___Toc480081512"/>
      <w:r>
        <w:rPr>
          <w:b/>
          <w:color w:val="0000FF"/>
        </w:rPr>
        <w:t>No Extension of Term</w:t>
      </w:r>
      <w:r>
        <w:rPr/>
        <w:t>. The Term shall not be extended by any period by which the Parties are excused from performance by an Event of Force Majeure.</w:t>
      </w:r>
      <w:bookmarkEnd w:id="119"/>
      <w:r>
        <w:rPr/>
        <w:t xml:space="preserve"> </w:t>
      </w:r>
    </w:p>
    <w:p>
      <w:pPr>
        <w:pStyle w:val="Article8L1"/>
        <w:numPr>
          <w:ilvl w:val="0"/>
          <w:numId w:val="12"/>
        </w:numPr>
        <w:ind w:hanging="0" w:start="0"/>
        <w:rPr/>
      </w:pPr>
      <w:r>
        <w:rPr>
          <w:b/>
          <w:caps/>
          <w:color w:val="0000FF"/>
        </w:rPr>
        <w:br/>
      </w:r>
      <w:bookmarkStart w:id="120" w:name="__RefHeading___Toc480081513"/>
      <w:r>
        <w:rPr>
          <w:b/>
          <w:caps/>
          <w:color w:val="0000FF"/>
        </w:rPr>
        <w:t>ASSIGNMENT AND SUCCESSION</w:t>
      </w:r>
      <w:bookmarkEnd w:id="120"/>
    </w:p>
    <w:p>
      <w:pPr>
        <w:pStyle w:val="Article8L2"/>
        <w:keepNext w:val="true"/>
        <w:numPr>
          <w:ilvl w:val="1"/>
          <w:numId w:val="12"/>
        </w:numPr>
        <w:ind w:hanging="0" w:start="0"/>
        <w:rPr/>
      </w:pPr>
      <w:bookmarkStart w:id="121" w:name="__RefHeading___Toc480081514"/>
      <w:bookmarkStart w:id="122" w:name="_Ref477755403"/>
      <w:bookmarkStart w:id="123" w:name="_Ref477755383"/>
      <w:bookmarkStart w:id="124" w:name="_Ref471211948"/>
      <w:bookmarkStart w:id="125" w:name="_Ref470442720"/>
      <w:r>
        <w:rPr>
          <w:b/>
          <w:color w:val="0000FF"/>
        </w:rPr>
        <w:t>Assignment and Succession</w:t>
      </w:r>
      <w:r>
        <w:rPr/>
        <w:t>.  Neither Party may assign this Agreement or any of its rights hereunder without the prior written consent of the other Party, which consent may be withheld in its discretion.  Notwithstanding the foregoing, a Party may, without the consent of, but on notice to the other Party, and provided it is not then in default of any of its obligations under this Agreement, (a) transfer, pledge, or assign this Agreement or the accounts, revenues or proceeds hereof as security for any financing, (b) transfer or assign this Agreement to an Affiliate of the assigning Party, (c) transfer or assign this Agreement to a Person succeeding to all or substantially all of the assets of the assigning Party, or (d) in the case of Seller, transfer or assign this Agreement to Ontario Power Generation Inc. or any direct wholly-owned subsidiary thereof, provided that, in any such case, any such assignee agrees to be bound in all respects by all of the terms and conditions of this Agreement</w:t>
      </w:r>
      <w:bookmarkEnd w:id="125"/>
      <w:r>
        <w:rPr/>
        <w:t>.</w:t>
      </w:r>
      <w:bookmarkEnd w:id="121"/>
      <w:bookmarkEnd w:id="122"/>
      <w:bookmarkEnd w:id="123"/>
      <w:r>
        <w:rPr/>
        <w:t xml:space="preserve">  </w:t>
      </w:r>
      <w:bookmarkEnd w:id="124"/>
    </w:p>
    <w:p>
      <w:pPr>
        <w:pStyle w:val="Article8L2"/>
        <w:numPr>
          <w:ilvl w:val="1"/>
          <w:numId w:val="12"/>
        </w:numPr>
        <w:ind w:hanging="0" w:start="0"/>
        <w:rPr/>
      </w:pPr>
      <w:bookmarkStart w:id="126" w:name="__RefHeading___Toc480081515"/>
      <w:r>
        <w:rPr>
          <w:b/>
          <w:color w:val="0000FF"/>
        </w:rPr>
        <w:t>Effect of Assignment</w:t>
      </w:r>
      <w:r>
        <w:rPr/>
        <w:t xml:space="preserve">. This Agreement shall enure to the benefit of and be binding upon the Parties and their respective successors and permitted assigns. An assignment or transfer permitted under Section </w:t>
      </w:r>
      <w:r>
        <w:rPr/>
        <w:fldChar w:fldCharType="begin"/>
      </w:r>
      <w:r>
        <w:rPr/>
        <w:instrText xml:space="preserve"> REF _Ref471211948 \w \w \h </w:instrText>
      </w:r>
      <w:r>
        <w:rPr/>
        <w:fldChar w:fldCharType="separate"/>
      </w:r>
      <w:r>
        <w:rPr/>
        <w:t>12.1</w:t>
      </w:r>
      <w:r>
        <w:rPr/>
        <w:fldChar w:fldCharType="end"/>
      </w:r>
      <w:r>
        <w:rPr/>
        <w:t xml:space="preserve"> shall not relieve the assigning Party of any of its obligations under this Agreement unless specifically agreed to by the other Party in writing, provided that, (a) in the case of a transfer or assignment to an Affiliate pursuant to clause (b) of Section </w:t>
      </w:r>
      <w:r>
        <w:rPr/>
        <w:fldChar w:fldCharType="begin"/>
      </w:r>
      <w:r>
        <w:rPr/>
        <w:instrText xml:space="preserve"> REF _Ref477755383 \r \r \h </w:instrText>
      </w:r>
      <w:r>
        <w:rPr/>
        <w:fldChar w:fldCharType="separate"/>
      </w:r>
      <w:r>
        <w:rPr/>
        <w:t>12.1</w:t>
      </w:r>
      <w:r>
        <w:rPr/>
        <w:fldChar w:fldCharType="end"/>
      </w:r>
      <w:r>
        <w:rPr/>
        <w:t xml:space="preserve">, the assigning Party shall be relieved of its obligations under this Agreement accruing after the effective date of the assignment if the other Party is provided with a Guarantee Agreement from Buyer’s Guarantor, where Buyer is the assigning Party, or from Seller’s Guarantor, where Seller is the assigning Party, on the same terms as those attached as Exhibit “A” and Exhibit “B”, respectively, to this Agreement for the ongoing obligations of such Affiliate under this Agreement, and (b) in the case of a transfer or assignment by Seller to Ontario Power Generation Inc. or any direct wholly-owned subsidiary thereof pursuant to clause (d) of Section </w:t>
      </w:r>
      <w:r>
        <w:rPr/>
        <w:fldChar w:fldCharType="begin"/>
      </w:r>
      <w:r>
        <w:rPr/>
        <w:instrText xml:space="preserve"> REF _Ref477755403 \r \r \h </w:instrText>
      </w:r>
      <w:r>
        <w:rPr/>
        <w:fldChar w:fldCharType="separate"/>
      </w:r>
      <w:r>
        <w:rPr/>
        <w:t>12.1</w:t>
      </w:r>
      <w:r>
        <w:rPr/>
        <w:fldChar w:fldCharType="end"/>
      </w:r>
      <w:r>
        <w:rPr/>
        <w:t xml:space="preserve"> and provided that the obligations of Ontario Power Generation Inc. or any such direct wholly-owned subsidiary thereof are guaranteed or otherwise assured to Buyer’s sole satisfaction by the Government of the Province of Ontario or other Person then having the same or better credit rating with S&amp;P and Moody’s as Seller’s Guarantor, Seller shall be relieved of its obligations under this Agreement accruing after the effective date of the assignment.</w:t>
      </w:r>
      <w:bookmarkEnd w:id="126"/>
      <w:r>
        <w:rPr/>
        <w:t xml:space="preserve"> </w:t>
      </w:r>
    </w:p>
    <w:p>
      <w:pPr>
        <w:pStyle w:val="Article8L2"/>
        <w:numPr>
          <w:ilvl w:val="1"/>
          <w:numId w:val="12"/>
        </w:numPr>
        <w:ind w:hanging="0" w:start="0"/>
        <w:rPr/>
      </w:pPr>
      <w:bookmarkStart w:id="127" w:name="__RefHeading___Toc480081516"/>
      <w:bookmarkEnd w:id="127"/>
      <w:r>
        <w:rPr>
          <w:b/>
          <w:color w:val="0000FF"/>
        </w:rPr>
        <w:t>Further Assurances</w:t>
      </w:r>
      <w:r>
        <w:rPr/>
        <w:t>.  Each Party shall do all such things and execute all such documents as may reasonably be requested by the other Party to give effect to a permitted transfer, pledge or assignment this Agreement.</w:t>
      </w:r>
    </w:p>
    <w:p>
      <w:pPr>
        <w:pStyle w:val="Article8L1"/>
        <w:keepNext w:val="false"/>
        <w:numPr>
          <w:ilvl w:val="0"/>
          <w:numId w:val="12"/>
        </w:numPr>
        <w:ind w:hanging="0" w:start="0"/>
        <w:rPr/>
      </w:pPr>
      <w:bookmarkStart w:id="128" w:name="_Ref470439118"/>
      <w:r>
        <w:rPr>
          <w:b/>
          <w:caps/>
          <w:color w:val="0000FF"/>
        </w:rPr>
        <w:br/>
      </w:r>
      <w:bookmarkStart w:id="129" w:name="__RefHeading___Toc480081517"/>
      <w:r>
        <w:rPr>
          <w:b/>
          <w:caps/>
          <w:color w:val="0000FF"/>
        </w:rPr>
        <w:t>MISCELLANEOUS</w:t>
      </w:r>
      <w:bookmarkEnd w:id="128"/>
      <w:bookmarkEnd w:id="129"/>
    </w:p>
    <w:p>
      <w:pPr>
        <w:pStyle w:val="Article8L2"/>
        <w:numPr>
          <w:ilvl w:val="1"/>
          <w:numId w:val="12"/>
        </w:numPr>
        <w:ind w:hanging="0" w:start="0"/>
        <w:rPr/>
      </w:pPr>
      <w:bookmarkStart w:id="130" w:name="__RefHeading___Toc480081518"/>
      <w:bookmarkEnd w:id="130"/>
      <w:r>
        <w:rPr>
          <w:b/>
          <w:color w:val="0000FF"/>
        </w:rPr>
        <w:t>Commencement Date</w:t>
      </w:r>
      <w:r>
        <w:rPr/>
        <w:t>.  Notwithstanding any other provision of this Agreement, if the Commencement Date has not occurred by May 31, 2001, this Agreement shall automatically terminate without any act or formality of the Parties and neither Party shall have any further liabilities or obligations under or with respect to this Agreement or the Transaction.</w:t>
      </w:r>
    </w:p>
    <w:p>
      <w:pPr>
        <w:pStyle w:val="Article8L2"/>
        <w:numPr>
          <w:ilvl w:val="1"/>
          <w:numId w:val="12"/>
        </w:numPr>
        <w:ind w:hanging="0" w:start="0"/>
        <w:rPr/>
      </w:pPr>
      <w:bookmarkStart w:id="131" w:name="__RefHeading___Toc480081519"/>
      <w:r>
        <w:rPr>
          <w:b/>
          <w:color w:val="0000FF"/>
        </w:rPr>
        <w:t>Financial Information</w:t>
      </w:r>
      <w:r>
        <w:rPr/>
        <w:t>.  Buyer shall cause to be delivered to Seller upon written request by Buyer (a) within 120 days following the end of each fiscal year, a copy of the audited consolidated financial statements of Buyer’s Guarantor for such fiscal year certified by independent certified public accountants, and (b) within 90 days after the end of each of its first three fiscal quarters of each fiscal year, a copy of the quarterly report of Buyer’s Guarantor containing unaudited consolidated financial statements for such fiscal quarter. Seller shall cause to be delivered to Buyer upon written request by Buyer (a) within 120 days following the end of each fiscal year, a copy of the audited consolidated financial statements of Seller’s Guarantor for such fiscal year certified by independent certified public accountants, and (b) within 90 days after the end of its half-yearly interim period of each fiscal year, a copy of the half-yearly interim report of Seller’s Guarantor containing unaudited consolidated financial statements for such fiscal half-yearly interim period.</w:t>
      </w:r>
      <w:bookmarkEnd w:id="131"/>
      <w:r>
        <w:rPr/>
        <w:t xml:space="preserve">  </w:t>
      </w:r>
    </w:p>
    <w:p>
      <w:pPr>
        <w:pStyle w:val="Article8L2"/>
        <w:numPr>
          <w:ilvl w:val="1"/>
          <w:numId w:val="12"/>
        </w:numPr>
        <w:ind w:hanging="0" w:start="0"/>
        <w:rPr/>
      </w:pPr>
      <w:bookmarkStart w:id="132" w:name="__RefHeading___Toc480081520"/>
      <w:bookmarkEnd w:id="132"/>
      <w:r>
        <w:rPr>
          <w:b/>
          <w:color w:val="0000FF"/>
        </w:rPr>
        <w:t>Disputes; Governing Law</w:t>
      </w:r>
      <w:r>
        <w:rPr/>
        <w:t>.  Any dispute, claim, action, cause of action or other proceeding under or with respect to the Transaction or this Agreement, including any counterclaims and cross claims, shall be governed by the laws in force in the Province of Ontario, without giving effect to principles of conflicts of law, before and under the exclusive jurisdiction of the courts of the Province of Ontario.</w:t>
      </w:r>
    </w:p>
    <w:p>
      <w:pPr>
        <w:pStyle w:val="Article8L2"/>
        <w:numPr>
          <w:ilvl w:val="1"/>
          <w:numId w:val="12"/>
        </w:numPr>
        <w:ind w:hanging="0" w:start="0"/>
        <w:rPr/>
      </w:pPr>
      <w:bookmarkStart w:id="133" w:name="__RefHeading___Toc480081521"/>
      <w:bookmarkEnd w:id="133"/>
      <w:r>
        <w:rPr>
          <w:b/>
          <w:color w:val="0000FF"/>
        </w:rPr>
        <w:t>Regulatory Approvals</w:t>
      </w:r>
      <w:r>
        <w:rPr/>
        <w:t>.  The Parties shall comply, in all material respects, with all applicable Regulatory Approvals and shall maintain in good standing throughout the Term all Regulatory Approvals.</w:t>
      </w:r>
    </w:p>
    <w:p>
      <w:pPr>
        <w:pStyle w:val="Article8L2"/>
        <w:numPr>
          <w:ilvl w:val="1"/>
          <w:numId w:val="12"/>
        </w:numPr>
        <w:ind w:hanging="0" w:start="0"/>
        <w:rPr/>
      </w:pPr>
      <w:bookmarkStart w:id="134" w:name="__RefHeading___Toc480081522"/>
      <w:bookmarkStart w:id="135" w:name="_Ref476625913"/>
      <w:bookmarkStart w:id="136" w:name="_Ref470437172"/>
      <w:r>
        <w:rPr>
          <w:b/>
          <w:color w:val="0000FF"/>
        </w:rPr>
        <w:t>Notices</w:t>
      </w:r>
      <w:r>
        <w:rPr/>
        <w:t>.  Any notice, request, demand or statement provided for in this Agreement shall be made in writing by hand delivery, by facsimile transmission or by courier (but not by mail) to the addresses below, provided that it is confirmed as delivered after 08:00 a.m., EPT, on a Business Day and prior to 5:30 p.m., EPT, on a Business Day or, if confirmed as delivered after 5:30 p.m., EPT, on a Business Day, it shall be deemed to have been delivered at 8:00 a.m., EPT, on the next ensuing Business Day.</w:t>
      </w:r>
      <w:bookmarkEnd w:id="134"/>
      <w:bookmarkEnd w:id="135"/>
      <w:r>
        <w:rPr/>
        <w:t xml:space="preserve">  </w:t>
      </w:r>
      <w:bookmarkEnd w:id="136"/>
    </w:p>
    <w:tbl>
      <w:tblPr>
        <w:tblW w:w="9360" w:type="dxa"/>
        <w:jc w:val="start"/>
        <w:tblInd w:w="108" w:type="dxa"/>
        <w:tblLayout w:type="fixed"/>
        <w:tblCellMar>
          <w:top w:w="0" w:type="dxa"/>
          <w:start w:w="108" w:type="dxa"/>
          <w:bottom w:w="0" w:type="dxa"/>
          <w:end w:w="108" w:type="dxa"/>
        </w:tblCellMar>
      </w:tblPr>
      <w:tblGrid>
        <w:gridCol w:w="3600"/>
        <w:gridCol w:w="270"/>
        <w:gridCol w:w="2610"/>
        <w:gridCol w:w="270"/>
        <w:gridCol w:w="2610"/>
      </w:tblGrid>
      <w:tr>
        <w:trPr/>
        <w:tc>
          <w:tcPr>
            <w:tcW w:w="3600" w:type="dxa"/>
            <w:tcBorders/>
          </w:tcPr>
          <w:p>
            <w:pPr>
              <w:pStyle w:val="BodyText"/>
              <w:spacing w:before="0" w:after="0"/>
              <w:rPr>
                <w:b/>
                <w:sz w:val="20"/>
                <w:u w:val="single"/>
              </w:rPr>
            </w:pPr>
            <w:r>
              <w:rPr>
                <w:i/>
                <w:sz w:val="20"/>
              </w:rPr>
              <w:t>Buyer:</w:t>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b/>
                <w:sz w:val="20"/>
                <w:u w:val="single"/>
              </w:rPr>
            </w:pPr>
            <w:r>
              <w:rPr>
                <w:b/>
                <w:sz w:val="20"/>
                <w:u w:val="single"/>
              </w:rPr>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b/>
                <w:sz w:val="20"/>
                <w:u w:val="single"/>
              </w:rPr>
            </w:pPr>
            <w:r>
              <w:rPr>
                <w:b/>
                <w:sz w:val="20"/>
                <w:u w:val="single"/>
              </w:rPr>
            </w:r>
          </w:p>
        </w:tc>
      </w:tr>
      <w:tr>
        <w:trPr/>
        <w:tc>
          <w:tcPr>
            <w:tcW w:w="3600" w:type="dxa"/>
            <w:tcBorders/>
          </w:tcPr>
          <w:p>
            <w:pPr>
              <w:pStyle w:val="BodyText"/>
              <w:snapToGrid w:val="false"/>
              <w:spacing w:before="0" w:after="0"/>
              <w:jc w:val="start"/>
              <w:rPr>
                <w:b/>
                <w:sz w:val="20"/>
                <w:u w:val="single"/>
              </w:rPr>
            </w:pPr>
            <w:r>
              <w:rPr>
                <w:b/>
                <w:sz w:val="20"/>
                <w:u w:val="single"/>
              </w:rPr>
            </w:r>
          </w:p>
          <w:p>
            <w:pPr>
              <w:pStyle w:val="BodyText"/>
              <w:spacing w:before="0" w:after="0"/>
              <w:jc w:val="start"/>
              <w:rPr>
                <w:sz w:val="20"/>
              </w:rPr>
            </w:pPr>
            <w:r>
              <w:rPr>
                <w:b/>
                <w:sz w:val="20"/>
                <w:u w:val="single"/>
              </w:rPr>
              <w:t>For Notices &amp; Correspondence:</w:t>
            </w:r>
          </w:p>
        </w:tc>
        <w:tc>
          <w:tcPr>
            <w:tcW w:w="270" w:type="dxa"/>
            <w:tcBorders/>
          </w:tcPr>
          <w:p>
            <w:pPr>
              <w:pStyle w:val="BodyText"/>
              <w:keepNext w:val="true"/>
              <w:snapToGrid w:val="false"/>
              <w:spacing w:before="0" w:after="0"/>
              <w:jc w:val="start"/>
              <w:rPr>
                <w:sz w:val="20"/>
              </w:rPr>
            </w:pPr>
            <w:r>
              <w:rPr>
                <w:sz w:val="20"/>
              </w:rPr>
            </w:r>
          </w:p>
        </w:tc>
        <w:tc>
          <w:tcPr>
            <w:tcW w:w="2610" w:type="dxa"/>
            <w:tcBorders/>
          </w:tcPr>
          <w:p>
            <w:pPr>
              <w:pStyle w:val="BodyText"/>
              <w:keepNext w:val="true"/>
              <w:snapToGrid w:val="false"/>
              <w:spacing w:before="0" w:after="0"/>
              <w:jc w:val="start"/>
              <w:rPr>
                <w:b/>
                <w:sz w:val="20"/>
                <w:u w:val="single"/>
              </w:rPr>
            </w:pPr>
            <w:r>
              <w:rPr>
                <w:b/>
                <w:sz w:val="20"/>
                <w:u w:val="single"/>
              </w:rPr>
            </w:r>
          </w:p>
          <w:p>
            <w:pPr>
              <w:pStyle w:val="BodyText"/>
              <w:keepNext w:val="true"/>
              <w:spacing w:before="0" w:after="0"/>
              <w:jc w:val="start"/>
              <w:rPr>
                <w:b/>
                <w:sz w:val="20"/>
                <w:u w:val="single"/>
              </w:rPr>
            </w:pPr>
            <w:r>
              <w:rPr>
                <w:b/>
                <w:sz w:val="20"/>
                <w:u w:val="single"/>
              </w:rPr>
              <w:t>For Invoicing:</w:t>
            </w:r>
          </w:p>
        </w:tc>
        <w:tc>
          <w:tcPr>
            <w:tcW w:w="270" w:type="dxa"/>
            <w:tcBorders/>
          </w:tcPr>
          <w:p>
            <w:pPr>
              <w:pStyle w:val="BodyText"/>
              <w:keepNext w:val="true"/>
              <w:snapToGrid w:val="false"/>
              <w:spacing w:before="0" w:after="0"/>
              <w:jc w:val="start"/>
              <w:rPr>
                <w:b/>
                <w:sz w:val="20"/>
                <w:u w:val="single"/>
              </w:rPr>
            </w:pPr>
            <w:r>
              <w:rPr>
                <w:b/>
                <w:sz w:val="20"/>
                <w:u w:val="single"/>
              </w:rPr>
            </w:r>
          </w:p>
        </w:tc>
        <w:tc>
          <w:tcPr>
            <w:tcW w:w="2610" w:type="dxa"/>
            <w:tcBorders/>
          </w:tcPr>
          <w:p>
            <w:pPr>
              <w:pStyle w:val="BodyText"/>
              <w:keepNext w:val="true"/>
              <w:spacing w:before="0" w:after="0"/>
              <w:jc w:val="start"/>
              <w:rPr>
                <w:b/>
                <w:sz w:val="20"/>
                <w:u w:val="single"/>
              </w:rPr>
            </w:pPr>
            <w:r>
              <w:rPr>
                <w:b/>
                <w:sz w:val="20"/>
                <w:u w:val="single"/>
              </w:rPr>
              <w:t xml:space="preserve">For Payments </w:t>
            </w:r>
          </w:p>
          <w:p>
            <w:pPr>
              <w:pStyle w:val="BodyText"/>
              <w:keepNext w:val="true"/>
              <w:spacing w:before="0" w:after="0"/>
              <w:jc w:val="start"/>
              <w:rPr>
                <w:b/>
                <w:sz w:val="20"/>
                <w:u w:val="single"/>
              </w:rPr>
            </w:pPr>
            <w:r>
              <w:rPr>
                <w:b/>
                <w:sz w:val="20"/>
                <w:u w:val="single"/>
              </w:rPr>
              <w:t>(By Wire Transfer):</w:t>
            </w:r>
          </w:p>
          <w:p>
            <w:pPr>
              <w:pStyle w:val="BodyText"/>
              <w:keepNext w:val="true"/>
              <w:spacing w:before="0" w:after="0"/>
              <w:jc w:val="start"/>
              <w:rPr>
                <w:b/>
                <w:sz w:val="20"/>
                <w:u w:val="single"/>
              </w:rPr>
            </w:pPr>
            <w:r>
              <w:rPr>
                <w:b/>
                <w:sz w:val="20"/>
                <w:u w:val="single"/>
              </w:rPr>
            </w:r>
          </w:p>
        </w:tc>
      </w:tr>
      <w:tr>
        <w:trPr/>
        <w:tc>
          <w:tcPr>
            <w:tcW w:w="3600" w:type="dxa"/>
            <w:tcBorders/>
          </w:tcPr>
          <w:p>
            <w:pPr>
              <w:pStyle w:val="BodyText"/>
              <w:spacing w:before="0" w:after="0"/>
              <w:rPr>
                <w:sz w:val="20"/>
              </w:rPr>
            </w:pPr>
            <w:r>
              <w:rPr>
                <w:sz w:val="20"/>
              </w:rPr>
              <w:t xml:space="preserve">Enron Canada Corp. </w:t>
            </w:r>
          </w:p>
          <w:p>
            <w:pPr>
              <w:pStyle w:val="BodyText"/>
              <w:spacing w:before="0" w:after="0"/>
              <w:rPr>
                <w:sz w:val="20"/>
              </w:rPr>
            </w:pPr>
            <w:r>
              <w:rPr>
                <w:sz w:val="20"/>
              </w:rPr>
              <w:t xml:space="preserve">3500 Canterra Tower </w:t>
            </w:r>
          </w:p>
          <w:p>
            <w:pPr>
              <w:pStyle w:val="BodyText"/>
              <w:spacing w:before="0" w:after="0"/>
              <w:rPr/>
            </w:pPr>
            <w:r>
              <w:rPr>
                <w:sz w:val="20"/>
              </w:rPr>
              <w:t>400 – 3</w:t>
            </w:r>
            <w:r>
              <w:rPr>
                <w:sz w:val="20"/>
                <w:vertAlign w:val="superscript"/>
              </w:rPr>
              <w:t>rd</w:t>
            </w:r>
            <w:r>
              <w:rPr>
                <w:sz w:val="20"/>
              </w:rPr>
              <w:t xml:space="preserve"> Avenue S.W.</w:t>
            </w:r>
          </w:p>
          <w:p>
            <w:pPr>
              <w:pStyle w:val="BodyText"/>
              <w:spacing w:before="0" w:after="0"/>
              <w:rPr>
                <w:sz w:val="20"/>
              </w:rPr>
            </w:pPr>
            <w:r>
              <w:rPr>
                <w:sz w:val="20"/>
              </w:rPr>
              <w:t>Calgary, Alberta  T2P 4H2</w:t>
            </w:r>
          </w:p>
          <w:p>
            <w:pPr>
              <w:pStyle w:val="BodyText"/>
              <w:spacing w:before="0" w:after="0"/>
              <w:jc w:val="start"/>
              <w:rPr>
                <w:sz w:val="20"/>
              </w:rPr>
            </w:pPr>
            <w:r>
              <w:rPr>
                <w:sz w:val="20"/>
              </w:rPr>
              <w:t>Attn.: Vice President (Canadian Energy Services)</w:t>
            </w:r>
          </w:p>
          <w:p>
            <w:pPr>
              <w:pStyle w:val="BodyText"/>
              <w:spacing w:before="0" w:after="0"/>
              <w:rPr>
                <w:sz w:val="20"/>
              </w:rPr>
            </w:pPr>
            <w:r>
              <w:rPr>
                <w:sz w:val="20"/>
              </w:rPr>
              <w:t>Fax:  (403) 974-6706</w:t>
            </w:r>
          </w:p>
          <w:p>
            <w:pPr>
              <w:pStyle w:val="BodyText"/>
              <w:spacing w:before="0" w:after="0"/>
              <w:rPr>
                <w:sz w:val="20"/>
              </w:rPr>
            </w:pPr>
            <w:r>
              <w:rPr>
                <w:sz w:val="20"/>
              </w:rPr>
            </w:r>
          </w:p>
          <w:p>
            <w:pPr>
              <w:pStyle w:val="BodyText"/>
              <w:spacing w:before="0" w:after="0"/>
              <w:rPr>
                <w:sz w:val="20"/>
              </w:rPr>
            </w:pPr>
            <w:r>
              <w:rPr>
                <w:sz w:val="20"/>
              </w:rPr>
              <w:t>With copy to:</w:t>
            </w:r>
          </w:p>
          <w:p>
            <w:pPr>
              <w:pStyle w:val="BodyText"/>
              <w:spacing w:before="0" w:after="0"/>
              <w:jc w:val="start"/>
              <w:rPr>
                <w:sz w:val="20"/>
              </w:rPr>
            </w:pPr>
            <w:r>
              <w:rPr>
                <w:sz w:val="20"/>
              </w:rPr>
              <w:t>Attn.:  Assistant General Counsel and Secretary</w:t>
            </w:r>
          </w:p>
          <w:p>
            <w:pPr>
              <w:pStyle w:val="BodyText"/>
              <w:spacing w:before="0" w:after="0"/>
              <w:rPr>
                <w:sz w:val="20"/>
              </w:rPr>
            </w:pPr>
            <w:r>
              <w:rPr>
                <w:sz w:val="20"/>
              </w:rPr>
              <w:t>Fax:  (403) 974-6707</w:t>
            </w:r>
          </w:p>
          <w:p>
            <w:pPr>
              <w:pStyle w:val="BodyText"/>
              <w:spacing w:before="0" w:after="0"/>
              <w:rPr>
                <w:sz w:val="20"/>
              </w:rPr>
            </w:pPr>
            <w:r>
              <w:rPr>
                <w:sz w:val="20"/>
              </w:rPr>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spacing w:before="0" w:after="0"/>
              <w:rPr>
                <w:sz w:val="20"/>
              </w:rPr>
            </w:pPr>
            <w:r>
              <w:rPr>
                <w:sz w:val="20"/>
              </w:rPr>
              <w:t xml:space="preserve">Enron Canada Corp. </w:t>
            </w:r>
          </w:p>
          <w:p>
            <w:pPr>
              <w:pStyle w:val="BodyText"/>
              <w:spacing w:before="0" w:after="0"/>
              <w:rPr>
                <w:sz w:val="20"/>
              </w:rPr>
            </w:pPr>
            <w:r>
              <w:rPr>
                <w:sz w:val="20"/>
              </w:rPr>
              <w:t xml:space="preserve">3500 Canterra Tower </w:t>
            </w:r>
          </w:p>
          <w:p>
            <w:pPr>
              <w:pStyle w:val="BodyText"/>
              <w:spacing w:before="0" w:after="0"/>
              <w:rPr/>
            </w:pPr>
            <w:r>
              <w:rPr>
                <w:sz w:val="20"/>
              </w:rPr>
              <w:t>400 - 3</w:t>
            </w:r>
            <w:r>
              <w:rPr>
                <w:sz w:val="20"/>
                <w:vertAlign w:val="superscript"/>
              </w:rPr>
              <w:t>rd</w:t>
            </w:r>
            <w:r>
              <w:rPr>
                <w:sz w:val="20"/>
              </w:rPr>
              <w:t xml:space="preserve"> Avenue S.W.</w:t>
            </w:r>
          </w:p>
          <w:p>
            <w:pPr>
              <w:pStyle w:val="BodyText"/>
              <w:keepNext w:val="true"/>
              <w:spacing w:before="0" w:after="0"/>
              <w:rPr>
                <w:sz w:val="20"/>
              </w:rPr>
            </w:pPr>
            <w:r>
              <w:rPr>
                <w:sz w:val="20"/>
              </w:rPr>
              <w:t>Calgary, Alberta   T2P 4H2</w:t>
            </w:r>
          </w:p>
          <w:p>
            <w:pPr>
              <w:pStyle w:val="BodyText"/>
              <w:keepNext w:val="true"/>
              <w:spacing w:before="0" w:after="0"/>
              <w:jc w:val="start"/>
              <w:rPr>
                <w:sz w:val="20"/>
              </w:rPr>
            </w:pPr>
            <w:r>
              <w:rPr>
                <w:sz w:val="20"/>
              </w:rPr>
              <w:t>Attn.: Senior Director (Accounting)</w:t>
            </w:r>
          </w:p>
          <w:p>
            <w:pPr>
              <w:pStyle w:val="BodyText"/>
              <w:keepNext w:val="true"/>
              <w:spacing w:before="0" w:after="0"/>
              <w:rPr>
                <w:sz w:val="20"/>
              </w:rPr>
            </w:pPr>
            <w:r>
              <w:rPr>
                <w:sz w:val="20"/>
              </w:rPr>
              <w:t>Fax:  (403) 974-6795</w:t>
            </w:r>
          </w:p>
        </w:tc>
        <w:tc>
          <w:tcPr>
            <w:tcW w:w="270" w:type="dxa"/>
            <w:tcBorders/>
          </w:tcPr>
          <w:p>
            <w:pPr>
              <w:pStyle w:val="BodyText"/>
              <w:snapToGrid w:val="false"/>
              <w:spacing w:before="0" w:after="0"/>
              <w:rPr>
                <w:sz w:val="20"/>
              </w:rPr>
            </w:pPr>
            <w:r>
              <w:rPr>
                <w:sz w:val="20"/>
              </w:rPr>
            </w:r>
          </w:p>
        </w:tc>
        <w:tc>
          <w:tcPr>
            <w:tcW w:w="2610" w:type="dxa"/>
            <w:tcBorders/>
          </w:tcPr>
          <w:p>
            <w:pPr>
              <w:pStyle w:val="BodyText"/>
              <w:keepNext w:val="true"/>
              <w:spacing w:before="0" w:after="0"/>
              <w:rPr>
                <w:sz w:val="20"/>
              </w:rPr>
            </w:pPr>
            <w:r>
              <w:rPr>
                <w:sz w:val="20"/>
              </w:rPr>
              <w:t>Enron Canada Corp.</w:t>
            </w:r>
          </w:p>
          <w:p>
            <w:pPr>
              <w:pStyle w:val="BodyText"/>
              <w:keepNext w:val="true"/>
              <w:spacing w:before="0" w:after="0"/>
              <w:rPr/>
            </w:pPr>
            <w:r>
              <w:rPr>
                <w:sz w:val="20"/>
              </w:rPr>
              <w:t>c/o The Toronto-Dominion Bank</w:t>
            </w:r>
            <w:r>
              <w:rPr>
                <w:b/>
                <w:sz w:val="20"/>
              </w:rPr>
              <w:t xml:space="preserve"> – </w:t>
            </w:r>
            <w:r>
              <w:rPr>
                <w:sz w:val="20"/>
              </w:rPr>
              <w:t>Main Branch</w:t>
            </w:r>
          </w:p>
          <w:p>
            <w:pPr>
              <w:pStyle w:val="BodyText"/>
              <w:keepNext w:val="true"/>
              <w:spacing w:before="0" w:after="0"/>
              <w:rPr>
                <w:sz w:val="20"/>
              </w:rPr>
            </w:pPr>
            <w:r>
              <w:rPr>
                <w:sz w:val="20"/>
              </w:rPr>
              <w:t xml:space="preserve">Account Title:  Enron Canada Corp. </w:t>
            </w:r>
          </w:p>
          <w:p>
            <w:pPr>
              <w:pStyle w:val="BodyText"/>
              <w:keepNext w:val="true"/>
              <w:spacing w:before="0" w:after="0"/>
              <w:rPr>
                <w:sz w:val="20"/>
              </w:rPr>
            </w:pPr>
            <w:r>
              <w:rPr>
                <w:sz w:val="20"/>
              </w:rPr>
              <w:t xml:space="preserve">Account Number:  0465537 </w:t>
            </w:r>
          </w:p>
          <w:p>
            <w:pPr>
              <w:pStyle w:val="BodyText"/>
              <w:spacing w:before="0" w:after="0"/>
              <w:rPr>
                <w:sz w:val="20"/>
              </w:rPr>
            </w:pPr>
            <w:r>
              <w:rPr>
                <w:sz w:val="20"/>
              </w:rPr>
              <w:t>Transit No.:  80609</w:t>
            </w:r>
          </w:p>
        </w:tc>
      </w:tr>
    </w:tbl>
    <w:p>
      <w:pPr>
        <w:pStyle w:val="Header"/>
        <w:rPr>
          <w:sz w:val="20"/>
        </w:rPr>
      </w:pPr>
      <w:r>
        <w:rPr>
          <w:sz w:val="20"/>
        </w:rPr>
      </w:r>
    </w:p>
    <w:tbl>
      <w:tblPr>
        <w:tblW w:w="9360" w:type="dxa"/>
        <w:jc w:val="start"/>
        <w:tblInd w:w="108" w:type="dxa"/>
        <w:tblLayout w:type="fixed"/>
        <w:tblCellMar>
          <w:top w:w="0" w:type="dxa"/>
          <w:start w:w="108" w:type="dxa"/>
          <w:bottom w:w="0" w:type="dxa"/>
          <w:end w:w="108" w:type="dxa"/>
        </w:tblCellMar>
      </w:tblPr>
      <w:tblGrid>
        <w:gridCol w:w="3600"/>
        <w:gridCol w:w="270"/>
        <w:gridCol w:w="2610"/>
        <w:gridCol w:w="270"/>
        <w:gridCol w:w="2610"/>
      </w:tblGrid>
      <w:tr>
        <w:trPr/>
        <w:tc>
          <w:tcPr>
            <w:tcW w:w="3600" w:type="dxa"/>
            <w:tcBorders/>
          </w:tcPr>
          <w:p>
            <w:pPr>
              <w:pStyle w:val="BodyText"/>
              <w:keepNext w:val="true"/>
              <w:keepLines/>
              <w:spacing w:before="0" w:after="0"/>
              <w:rPr>
                <w:b/>
                <w:sz w:val="20"/>
                <w:u w:val="single"/>
              </w:rPr>
            </w:pPr>
            <w:r>
              <w:rPr>
                <w:i/>
                <w:sz w:val="20"/>
              </w:rPr>
              <w:t>Seller:</w:t>
            </w:r>
          </w:p>
        </w:tc>
        <w:tc>
          <w:tcPr>
            <w:tcW w:w="270" w:type="dxa"/>
            <w:tcBorders/>
          </w:tcPr>
          <w:p>
            <w:pPr>
              <w:pStyle w:val="BodyText"/>
              <w:keepNext w:val="true"/>
              <w:snapToGrid w:val="false"/>
              <w:spacing w:before="0" w:after="0"/>
              <w:rPr>
                <w:b/>
                <w:sz w:val="20"/>
                <w:u w:val="single"/>
              </w:rPr>
            </w:pPr>
            <w:r>
              <w:rPr>
                <w:b/>
                <w:sz w:val="20"/>
                <w:u w:val="single"/>
              </w:rPr>
            </w:r>
          </w:p>
        </w:tc>
        <w:tc>
          <w:tcPr>
            <w:tcW w:w="2610" w:type="dxa"/>
            <w:tcBorders/>
          </w:tcPr>
          <w:p>
            <w:pPr>
              <w:pStyle w:val="BodyText"/>
              <w:keepNext w:val="true"/>
              <w:snapToGrid w:val="false"/>
              <w:spacing w:before="0" w:after="0"/>
              <w:rPr>
                <w:sz w:val="20"/>
              </w:rPr>
            </w:pPr>
            <w:r>
              <w:rPr>
                <w:sz w:val="20"/>
              </w:rPr>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keepNext w:val="true"/>
              <w:snapToGrid w:val="false"/>
              <w:spacing w:before="0" w:after="0"/>
              <w:rPr>
                <w:sz w:val="20"/>
              </w:rPr>
            </w:pPr>
            <w:r>
              <w:rPr>
                <w:sz w:val="20"/>
              </w:rPr>
            </w:r>
          </w:p>
        </w:tc>
      </w:tr>
      <w:tr>
        <w:trPr/>
        <w:tc>
          <w:tcPr>
            <w:tcW w:w="3600" w:type="dxa"/>
            <w:tcBorders/>
          </w:tcPr>
          <w:p>
            <w:pPr>
              <w:pStyle w:val="BodyText"/>
              <w:snapToGrid w:val="false"/>
              <w:spacing w:before="0" w:after="0"/>
              <w:jc w:val="start"/>
              <w:rPr>
                <w:b/>
                <w:sz w:val="20"/>
                <w:u w:val="single"/>
              </w:rPr>
            </w:pPr>
            <w:r>
              <w:rPr>
                <w:b/>
                <w:sz w:val="20"/>
                <w:u w:val="single"/>
              </w:rPr>
            </w:r>
          </w:p>
          <w:p>
            <w:pPr>
              <w:pStyle w:val="BodyText"/>
              <w:spacing w:before="0" w:after="0"/>
              <w:jc w:val="start"/>
              <w:rPr>
                <w:sz w:val="20"/>
              </w:rPr>
            </w:pPr>
            <w:r>
              <w:rPr>
                <w:b/>
                <w:sz w:val="20"/>
                <w:u w:val="single"/>
              </w:rPr>
              <w:t>For Notices &amp; Correspondence:</w:t>
            </w:r>
          </w:p>
        </w:tc>
        <w:tc>
          <w:tcPr>
            <w:tcW w:w="270" w:type="dxa"/>
            <w:tcBorders/>
          </w:tcPr>
          <w:p>
            <w:pPr>
              <w:pStyle w:val="BodyText"/>
              <w:keepNext w:val="true"/>
              <w:snapToGrid w:val="false"/>
              <w:spacing w:before="0" w:after="0"/>
              <w:jc w:val="start"/>
              <w:rPr>
                <w:sz w:val="20"/>
              </w:rPr>
            </w:pPr>
            <w:r>
              <w:rPr>
                <w:sz w:val="20"/>
              </w:rPr>
            </w:r>
          </w:p>
        </w:tc>
        <w:tc>
          <w:tcPr>
            <w:tcW w:w="2610" w:type="dxa"/>
            <w:tcBorders/>
          </w:tcPr>
          <w:p>
            <w:pPr>
              <w:pStyle w:val="BodyText"/>
              <w:keepNext w:val="true"/>
              <w:snapToGrid w:val="false"/>
              <w:spacing w:before="0" w:after="0"/>
              <w:jc w:val="start"/>
              <w:rPr>
                <w:b/>
                <w:sz w:val="20"/>
                <w:u w:val="single"/>
              </w:rPr>
            </w:pPr>
            <w:r>
              <w:rPr>
                <w:b/>
                <w:sz w:val="20"/>
                <w:u w:val="single"/>
              </w:rPr>
            </w:r>
          </w:p>
          <w:p>
            <w:pPr>
              <w:pStyle w:val="BodyText"/>
              <w:keepNext w:val="true"/>
              <w:spacing w:before="0" w:after="0"/>
              <w:jc w:val="start"/>
              <w:rPr>
                <w:b/>
                <w:sz w:val="20"/>
                <w:u w:val="single"/>
              </w:rPr>
            </w:pPr>
            <w:r>
              <w:rPr>
                <w:b/>
                <w:sz w:val="20"/>
                <w:u w:val="single"/>
              </w:rPr>
              <w:t>For Invoicing:</w:t>
            </w:r>
          </w:p>
        </w:tc>
        <w:tc>
          <w:tcPr>
            <w:tcW w:w="270" w:type="dxa"/>
            <w:tcBorders/>
          </w:tcPr>
          <w:p>
            <w:pPr>
              <w:pStyle w:val="BodyText"/>
              <w:keepNext w:val="true"/>
              <w:snapToGrid w:val="false"/>
              <w:spacing w:before="0" w:after="0"/>
              <w:jc w:val="start"/>
              <w:rPr>
                <w:b/>
                <w:sz w:val="20"/>
                <w:u w:val="single"/>
              </w:rPr>
            </w:pPr>
            <w:r>
              <w:rPr>
                <w:b/>
                <w:sz w:val="20"/>
                <w:u w:val="single"/>
              </w:rPr>
            </w:r>
          </w:p>
        </w:tc>
        <w:tc>
          <w:tcPr>
            <w:tcW w:w="2610" w:type="dxa"/>
            <w:tcBorders/>
          </w:tcPr>
          <w:p>
            <w:pPr>
              <w:pStyle w:val="BodyText"/>
              <w:keepNext w:val="true"/>
              <w:spacing w:before="0" w:after="0"/>
              <w:jc w:val="start"/>
              <w:rPr>
                <w:b/>
                <w:sz w:val="20"/>
                <w:u w:val="single"/>
              </w:rPr>
            </w:pPr>
            <w:r>
              <w:rPr>
                <w:b/>
                <w:sz w:val="20"/>
                <w:u w:val="single"/>
              </w:rPr>
              <w:t>For Payments</w:t>
            </w:r>
          </w:p>
          <w:p>
            <w:pPr>
              <w:pStyle w:val="BodyText"/>
              <w:keepNext w:val="true"/>
              <w:spacing w:before="0" w:after="0"/>
              <w:jc w:val="start"/>
              <w:rPr>
                <w:b/>
                <w:sz w:val="20"/>
                <w:u w:val="single"/>
              </w:rPr>
            </w:pPr>
            <w:r>
              <w:rPr>
                <w:b/>
                <w:sz w:val="20"/>
                <w:u w:val="single"/>
              </w:rPr>
              <w:t>(By Wire Transfer):</w:t>
            </w:r>
          </w:p>
          <w:p>
            <w:pPr>
              <w:pStyle w:val="BodyText"/>
              <w:keepNext w:val="true"/>
              <w:spacing w:before="0" w:after="0"/>
              <w:jc w:val="start"/>
              <w:rPr>
                <w:b/>
                <w:sz w:val="20"/>
                <w:u w:val="single"/>
              </w:rPr>
            </w:pPr>
            <w:r>
              <w:rPr>
                <w:b/>
                <w:sz w:val="20"/>
                <w:u w:val="single"/>
              </w:rPr>
            </w:r>
          </w:p>
        </w:tc>
      </w:tr>
      <w:tr>
        <w:trPr/>
        <w:tc>
          <w:tcPr>
            <w:tcW w:w="3600" w:type="dxa"/>
            <w:tcBorders/>
          </w:tcPr>
          <w:p>
            <w:pPr>
              <w:pStyle w:val="BodyText"/>
              <w:keepNext w:val="true"/>
              <w:keepLines/>
              <w:spacing w:before="0" w:after="0"/>
              <w:rPr>
                <w:sz w:val="20"/>
              </w:rPr>
            </w:pPr>
            <w:r>
              <w:rPr>
                <w:sz w:val="20"/>
              </w:rPr>
              <w:t>British Energy (Canada) Ltd.</w:t>
            </w:r>
          </w:p>
          <w:p>
            <w:pPr>
              <w:pStyle w:val="BodyText"/>
              <w:keepNext w:val="true"/>
              <w:keepLines/>
              <w:spacing w:before="0" w:after="0"/>
              <w:rPr>
                <w:sz w:val="20"/>
              </w:rPr>
            </w:pPr>
            <w:r>
              <w:rPr>
                <w:sz w:val="20"/>
              </w:rPr>
              <w:t>Suite 1000, 69 Yonge Street</w:t>
            </w:r>
          </w:p>
          <w:p>
            <w:pPr>
              <w:pStyle w:val="BodyText"/>
              <w:keepNext w:val="true"/>
              <w:keepLines/>
              <w:spacing w:before="0" w:after="0"/>
              <w:rPr>
                <w:b/>
                <w:sz w:val="20"/>
              </w:rPr>
            </w:pPr>
            <w:r>
              <w:rPr>
                <w:sz w:val="20"/>
              </w:rPr>
              <w:t>Toronto, Ontario   M5E 1K3</w:t>
            </w:r>
          </w:p>
          <w:p>
            <w:pPr>
              <w:pStyle w:val="BodyText"/>
              <w:keepNext w:val="true"/>
              <w:keepLines/>
              <w:spacing w:before="0" w:after="0"/>
              <w:rPr>
                <w:sz w:val="20"/>
              </w:rPr>
            </w:pPr>
            <w:r>
              <w:rPr>
                <w:sz w:val="20"/>
              </w:rPr>
              <w:t>Attn:  Vice President, Marketing</w:t>
            </w:r>
          </w:p>
          <w:p>
            <w:pPr>
              <w:pStyle w:val="BodyText"/>
              <w:keepNext w:val="true"/>
              <w:keepLines/>
              <w:spacing w:before="0" w:after="0"/>
              <w:rPr>
                <w:sz w:val="20"/>
              </w:rPr>
            </w:pPr>
            <w:r>
              <w:rPr>
                <w:sz w:val="20"/>
              </w:rPr>
              <w:t>Fax:  (416) 214-0545</w:t>
            </w:r>
          </w:p>
          <w:p>
            <w:pPr>
              <w:pStyle w:val="BodyText"/>
              <w:keepNext w:val="true"/>
              <w:keepLines/>
              <w:spacing w:before="0" w:after="0"/>
              <w:rPr>
                <w:sz w:val="20"/>
                <w:u w:val="single"/>
              </w:rPr>
            </w:pPr>
            <w:r>
              <w:rPr>
                <w:sz w:val="20"/>
                <w:u w:val="single"/>
              </w:rPr>
            </w:r>
          </w:p>
        </w:tc>
        <w:tc>
          <w:tcPr>
            <w:tcW w:w="270" w:type="dxa"/>
            <w:tcBorders/>
          </w:tcPr>
          <w:p>
            <w:pPr>
              <w:pStyle w:val="BodyText"/>
              <w:keepNext w:val="true"/>
              <w:snapToGrid w:val="false"/>
              <w:spacing w:before="0" w:after="0"/>
              <w:rPr>
                <w:sz w:val="20"/>
                <w:u w:val="single"/>
              </w:rPr>
            </w:pPr>
            <w:r>
              <w:rPr>
                <w:sz w:val="20"/>
                <w:u w:val="single"/>
              </w:rPr>
            </w:r>
          </w:p>
        </w:tc>
        <w:tc>
          <w:tcPr>
            <w:tcW w:w="2610" w:type="dxa"/>
            <w:tcBorders/>
          </w:tcPr>
          <w:p>
            <w:pPr>
              <w:pStyle w:val="BodyText"/>
              <w:keepNext w:val="true"/>
              <w:keepLines/>
              <w:spacing w:before="0" w:after="0"/>
              <w:rPr>
                <w:sz w:val="20"/>
              </w:rPr>
            </w:pPr>
            <w:r>
              <w:rPr>
                <w:sz w:val="20"/>
              </w:rPr>
              <w:t>British Energy (Canada) Ltd.</w:t>
            </w:r>
          </w:p>
          <w:p>
            <w:pPr>
              <w:pStyle w:val="BodyText"/>
              <w:keepNext w:val="true"/>
              <w:keepLines/>
              <w:spacing w:before="0" w:after="0"/>
              <w:rPr>
                <w:b/>
                <w:sz w:val="20"/>
              </w:rPr>
            </w:pPr>
            <w:r>
              <w:rPr>
                <w:sz w:val="20"/>
              </w:rPr>
              <w:t>Suite 1000, 69 Yonge Street</w:t>
            </w:r>
          </w:p>
          <w:p>
            <w:pPr>
              <w:pStyle w:val="BodyText"/>
              <w:keepNext w:val="true"/>
              <w:keepLines/>
              <w:spacing w:before="0" w:after="0"/>
              <w:rPr>
                <w:b/>
                <w:sz w:val="20"/>
              </w:rPr>
            </w:pPr>
            <w:r>
              <w:rPr>
                <w:sz w:val="20"/>
              </w:rPr>
              <w:t>Toronto, Ontario   M5E 1K3</w:t>
            </w:r>
          </w:p>
          <w:p>
            <w:pPr>
              <w:pStyle w:val="BodyText"/>
              <w:keepNext w:val="true"/>
              <w:keepLines/>
              <w:spacing w:before="0" w:after="0"/>
              <w:rPr>
                <w:sz w:val="20"/>
              </w:rPr>
            </w:pPr>
            <w:r>
              <w:rPr>
                <w:sz w:val="20"/>
              </w:rPr>
              <w:t>Attn: Vice President, Marketing</w:t>
            </w:r>
          </w:p>
          <w:p>
            <w:pPr>
              <w:pStyle w:val="BodyText"/>
              <w:keepNext w:val="true"/>
              <w:spacing w:before="0" w:after="0"/>
              <w:rPr>
                <w:sz w:val="20"/>
              </w:rPr>
            </w:pPr>
            <w:r>
              <w:rPr>
                <w:sz w:val="20"/>
              </w:rPr>
              <w:t>Fax: (416) 214-0545</w:t>
            </w:r>
          </w:p>
        </w:tc>
        <w:tc>
          <w:tcPr>
            <w:tcW w:w="270" w:type="dxa"/>
            <w:tcBorders/>
          </w:tcPr>
          <w:p>
            <w:pPr>
              <w:pStyle w:val="BodyText"/>
              <w:keepNext w:val="true"/>
              <w:snapToGrid w:val="false"/>
              <w:spacing w:before="0" w:after="0"/>
              <w:rPr>
                <w:sz w:val="20"/>
              </w:rPr>
            </w:pPr>
            <w:r>
              <w:rPr>
                <w:sz w:val="20"/>
              </w:rPr>
            </w:r>
          </w:p>
        </w:tc>
        <w:tc>
          <w:tcPr>
            <w:tcW w:w="2610" w:type="dxa"/>
            <w:tcBorders/>
          </w:tcPr>
          <w:p>
            <w:pPr>
              <w:pStyle w:val="BodyText"/>
              <w:keepNext w:val="true"/>
              <w:spacing w:before="0" w:after="0"/>
              <w:rPr>
                <w:sz w:val="20"/>
              </w:rPr>
            </w:pPr>
            <w:r>
              <w:rPr>
                <w:sz w:val="20"/>
              </w:rPr>
              <w:t>British Energy (Canada) Ltd.</w:t>
            </w:r>
          </w:p>
          <w:p>
            <w:pPr>
              <w:pStyle w:val="BodyText"/>
              <w:keepNext w:val="true"/>
              <w:spacing w:before="0" w:after="0"/>
              <w:rPr>
                <w:sz w:val="20"/>
              </w:rPr>
            </w:pPr>
            <w:r>
              <w:rPr>
                <w:sz w:val="20"/>
              </w:rPr>
              <w:t>c/o Toronto Dominion Bank</w:t>
            </w:r>
          </w:p>
          <w:p>
            <w:pPr>
              <w:pStyle w:val="BodyText"/>
              <w:keepNext w:val="true"/>
              <w:spacing w:before="0" w:after="0"/>
              <w:rPr>
                <w:sz w:val="20"/>
              </w:rPr>
            </w:pPr>
            <w:r>
              <w:rPr>
                <w:sz w:val="20"/>
              </w:rPr>
              <w:t>1 King Street</w:t>
            </w:r>
          </w:p>
          <w:p>
            <w:pPr>
              <w:pStyle w:val="BodyText"/>
              <w:keepNext w:val="true"/>
              <w:spacing w:before="0" w:after="0"/>
              <w:rPr>
                <w:sz w:val="20"/>
              </w:rPr>
            </w:pPr>
            <w:r>
              <w:rPr>
                <w:sz w:val="20"/>
              </w:rPr>
              <w:t>Toronto, Ontario  M5H 1A1</w:t>
            </w:r>
          </w:p>
          <w:p>
            <w:pPr>
              <w:pStyle w:val="BodyText"/>
              <w:keepNext w:val="true"/>
              <w:spacing w:before="0" w:after="0"/>
              <w:rPr>
                <w:sz w:val="20"/>
              </w:rPr>
            </w:pPr>
            <w:r>
              <w:rPr>
                <w:sz w:val="20"/>
              </w:rPr>
              <w:t>Account Title:  British Energy plc</w:t>
            </w:r>
          </w:p>
          <w:p>
            <w:pPr>
              <w:pStyle w:val="BodyText"/>
              <w:keepNext w:val="true"/>
              <w:spacing w:before="0" w:after="0"/>
              <w:rPr>
                <w:sz w:val="20"/>
              </w:rPr>
            </w:pPr>
            <w:r>
              <w:rPr>
                <w:sz w:val="20"/>
              </w:rPr>
              <w:t>Account Number: 0680 0370005</w:t>
            </w:r>
          </w:p>
          <w:p>
            <w:pPr>
              <w:pStyle w:val="BodyText"/>
              <w:keepNext w:val="true"/>
              <w:spacing w:before="0" w:after="0"/>
              <w:rPr>
                <w:sz w:val="20"/>
              </w:rPr>
            </w:pPr>
            <w:r>
              <w:rPr>
                <w:sz w:val="20"/>
              </w:rPr>
              <w:t>Transit No.: 1025</w:t>
            </w:r>
          </w:p>
        </w:tc>
      </w:tr>
    </w:tbl>
    <w:p>
      <w:pPr>
        <w:pStyle w:val="BodyText"/>
        <w:rPr>
          <w:sz w:val="20"/>
        </w:rPr>
      </w:pPr>
      <w:r>
        <w:rPr>
          <w:sz w:val="20"/>
        </w:rPr>
      </w:r>
    </w:p>
    <w:p>
      <w:pPr>
        <w:pStyle w:val="BodyText"/>
        <w:ind w:start="720" w:end="0"/>
        <w:rPr/>
      </w:pPr>
      <w:r>
        <w:rPr/>
        <w:t xml:space="preserve">Buyer or Seller may from time to time designate different addresses by a notice properly given pursuant to this Section </w:t>
      </w:r>
      <w:r>
        <w:rPr/>
        <w:fldChar w:fldCharType="begin"/>
      </w:r>
      <w:r>
        <w:rPr/>
        <w:instrText xml:space="preserve"> REF _Ref470437172 \r \r \h </w:instrText>
      </w:r>
      <w:r>
        <w:rPr/>
        <w:fldChar w:fldCharType="separate"/>
      </w:r>
      <w:r>
        <w:rPr/>
        <w:t>13.5</w:t>
      </w:r>
      <w:r>
        <w:rPr/>
        <w:fldChar w:fldCharType="end"/>
      </w:r>
      <w:r>
        <w:rPr/>
        <w:t>.</w:t>
      </w:r>
    </w:p>
    <w:p>
      <w:pPr>
        <w:pStyle w:val="Article8L2"/>
        <w:numPr>
          <w:ilvl w:val="1"/>
          <w:numId w:val="12"/>
        </w:numPr>
        <w:ind w:hanging="0" w:start="0"/>
        <w:rPr/>
      </w:pPr>
      <w:bookmarkStart w:id="137" w:name="__RefHeading___Toc480081523"/>
      <w:bookmarkEnd w:id="137"/>
      <w:r>
        <w:rPr>
          <w:b/>
          <w:color w:val="0000FF"/>
        </w:rPr>
        <w:t>Entirety</w:t>
      </w:r>
      <w:r>
        <w:rPr/>
        <w:t>.  This Agreement including the Guarantee Agreements constitutes the entire agreement between the Parties with respect to the subject matters herein contained, and there are no prior, contemporaneous or collateral agreements, representations or warranties respecting the same, other than as expressed in this Agreement.  Each Party expressly negates any other agreement, representation or warranty, express or implied, including any representation or warranty with respect to conformity to models or samples, merchantability, or fitness for any particular purpose.</w:t>
      </w:r>
    </w:p>
    <w:p>
      <w:pPr>
        <w:pStyle w:val="Article8L2"/>
        <w:numPr>
          <w:ilvl w:val="1"/>
          <w:numId w:val="12"/>
        </w:numPr>
        <w:ind w:hanging="0" w:start="0"/>
        <w:rPr/>
      </w:pPr>
      <w:bookmarkStart w:id="138" w:name="__RefHeading___Toc480081524"/>
      <w:bookmarkEnd w:id="138"/>
      <w:r>
        <w:rPr>
          <w:b/>
          <w:color w:val="0000FF"/>
        </w:rPr>
        <w:t>Amendments</w:t>
      </w:r>
      <w:r>
        <w:rPr/>
        <w:t>.  No amendment, restatement, supplement or other modification or change to this Agreement shall be enforceable unless made in writing and executed by the Parties.</w:t>
      </w:r>
    </w:p>
    <w:p>
      <w:pPr>
        <w:pStyle w:val="Article8L2"/>
        <w:numPr>
          <w:ilvl w:val="1"/>
          <w:numId w:val="12"/>
        </w:numPr>
        <w:ind w:hanging="0" w:start="0"/>
        <w:rPr/>
      </w:pPr>
      <w:bookmarkStart w:id="139" w:name="__RefHeading___Toc480081525"/>
      <w:r>
        <w:rPr>
          <w:b/>
          <w:color w:val="0000FF"/>
        </w:rPr>
        <w:t>Non-Waiver</w:t>
      </w:r>
      <w:r>
        <w:rPr/>
        <w:t>.  No waiver by a Party of any one or more defaults by the other Party in the performance of any of the provisions of this Agreement, nor the failure or delay by a Party in exercising any right or remedy under or with respect to this Agreement, shall be construed as a waiver of any other default or defaults, whether of a like kind or different nature, or of any such right or remedy.</w:t>
      </w:r>
      <w:bookmarkEnd w:id="139"/>
      <w:r>
        <w:rPr/>
        <w:t xml:space="preserve">  </w:t>
      </w:r>
    </w:p>
    <w:p>
      <w:pPr>
        <w:pStyle w:val="Article8L2"/>
        <w:numPr>
          <w:ilvl w:val="1"/>
          <w:numId w:val="12"/>
        </w:numPr>
        <w:ind w:hanging="0" w:start="0"/>
        <w:rPr/>
      </w:pPr>
      <w:bookmarkStart w:id="140" w:name="__RefHeading___Toc480081526"/>
      <w:bookmarkEnd w:id="140"/>
      <w:r>
        <w:rPr>
          <w:b/>
          <w:color w:val="0000FF"/>
        </w:rPr>
        <w:t>Severability</w:t>
      </w:r>
      <w:r>
        <w:rPr/>
        <w:t>.  Any provision of this Agreement declared or rendered unlawful or unenforceable will be severed from, and will not otherwise affect the performance of other obligations that arise under this Agreement.</w:t>
      </w:r>
    </w:p>
    <w:p>
      <w:pPr>
        <w:pStyle w:val="Article8L2"/>
        <w:numPr>
          <w:ilvl w:val="1"/>
          <w:numId w:val="12"/>
        </w:numPr>
        <w:ind w:hanging="0" w:start="0"/>
        <w:rPr/>
      </w:pPr>
      <w:bookmarkStart w:id="141" w:name="__RefHeading___Toc480081527"/>
      <w:bookmarkStart w:id="142" w:name="_Ref471209780"/>
      <w:bookmarkStart w:id="143" w:name="_Ref471013356"/>
      <w:bookmarkEnd w:id="141"/>
      <w:r>
        <w:rPr>
          <w:b/>
          <w:color w:val="0000FF"/>
        </w:rPr>
        <w:t>Confidentiality</w:t>
      </w:r>
      <w:r>
        <w:rPr/>
        <w:t xml:space="preserve">.  </w:t>
      </w:r>
      <w:bookmarkEnd w:id="143"/>
      <w:r>
        <w:rPr/>
        <w:t>Neither Party shall disclose the terms of this Agreement to any other Person (other than such Party's and its Affiliate's officers, directors, consultants, employees, lenders, counsel, accountants, other professional advisors and prospective purchasers of any of the rights under this Agreement, all on a need-to-know basis and all of whom have agreed, or by the nature of their retainer, engagement or employment are required, to keep such terms confidential on similar terms, and for whose breach such Party shall be liable to the other Party), except in order to comply with any applicable law, order or regulatory or stock exchange rule, provided each Party shall notify the other Party of any proceeding of which it is aware that may result in disclosure and use reasonable efforts to prevent or limit the disclosure.  The Parties shall be entitled to all remedies available at law or in equity to enforce, or seek relief in connection with, this confidentiality obligation, provided that all monetary damages shall be limited to actual direct damages and a breach of this Section</w:t>
      </w:r>
      <w:bookmarkEnd w:id="142"/>
      <w:r>
        <w:rPr/>
        <w:t xml:space="preserve"> </w:t>
      </w:r>
      <w:r>
        <w:rPr/>
        <w:fldChar w:fldCharType="begin"/>
      </w:r>
      <w:r>
        <w:rPr/>
        <w:instrText xml:space="preserve"> REF _Ref471209780 \w \w \h </w:instrText>
      </w:r>
      <w:r>
        <w:rPr/>
        <w:fldChar w:fldCharType="separate"/>
      </w:r>
      <w:r>
        <w:rPr/>
        <w:t>13.10</w:t>
      </w:r>
      <w:r>
        <w:rPr/>
        <w:fldChar w:fldCharType="end"/>
      </w:r>
      <w:r>
        <w:rPr/>
        <w:t xml:space="preserve"> shall not give rise to a right to suspend performance under, or terminate this Agreement.  This provision shall survive any termination of the Transaction or this Agreement, or the expiry of the Term, for a period of two years.</w:t>
      </w:r>
    </w:p>
    <w:p>
      <w:pPr>
        <w:pStyle w:val="Article8L2"/>
        <w:numPr>
          <w:ilvl w:val="1"/>
          <w:numId w:val="12"/>
        </w:numPr>
        <w:ind w:hanging="0" w:start="0"/>
        <w:rPr/>
      </w:pPr>
      <w:bookmarkStart w:id="144" w:name="__RefHeading___Toc480081528"/>
      <w:bookmarkEnd w:id="144"/>
      <w:r>
        <w:rPr>
          <w:b/>
          <w:color w:val="0000FF"/>
        </w:rPr>
        <w:t>No Third Party Beneficiaries</w:t>
      </w:r>
      <w:r>
        <w:rPr/>
        <w:t>.  The provisions of this Agreement shall not impart rights enforceable by any Person not a Party or not bound as a Party, or not a permitted successor or assignee of a Party bound to this Agreement.</w:t>
      </w:r>
    </w:p>
    <w:p>
      <w:pPr>
        <w:pStyle w:val="Article8L2"/>
        <w:numPr>
          <w:ilvl w:val="1"/>
          <w:numId w:val="12"/>
        </w:numPr>
        <w:ind w:hanging="0" w:start="0"/>
        <w:rPr/>
      </w:pPr>
      <w:bookmarkStart w:id="145" w:name="__RefHeading___Toc480081529"/>
      <w:r>
        <w:rPr>
          <w:b/>
          <w:color w:val="0000FF"/>
        </w:rPr>
        <w:t>Parties not Partners</w:t>
      </w:r>
      <w:r>
        <w:rPr/>
        <w:t>.  This Agreement shall not be interpreted or construed to create an association, agency, joint venture, partnership or other similar-type relationship between the Parties, or to impose any such obligation or liability upon either Party.  Neither Party shall have any right or authority to enter into any agreement or undertaking for, or act on behalf of, or to act as or be an agent or representative of, or to otherwise bind, the other Party.</w:t>
      </w:r>
      <w:bookmarkEnd w:id="145"/>
      <w:r>
        <w:rPr/>
        <w:t xml:space="preserve">  </w:t>
      </w:r>
    </w:p>
    <w:p>
      <w:pPr>
        <w:pStyle w:val="Article8L2"/>
        <w:numPr>
          <w:ilvl w:val="1"/>
          <w:numId w:val="12"/>
        </w:numPr>
        <w:ind w:hanging="0" w:start="0"/>
        <w:rPr/>
      </w:pPr>
      <w:bookmarkStart w:id="146" w:name="__RefHeading___Toc480081530"/>
      <w:bookmarkEnd w:id="146"/>
      <w:r>
        <w:rPr>
          <w:b/>
          <w:color w:val="0000FF"/>
        </w:rPr>
        <w:t>Eligible Financial Contract</w:t>
      </w:r>
      <w:r>
        <w:rPr/>
        <w:t xml:space="preserve">.  This Agreement, the Transaction and each Guarantee Agreement each and together constitute an “eligible financial contract” under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Article8L2"/>
        <w:numPr>
          <w:ilvl w:val="1"/>
          <w:numId w:val="12"/>
        </w:numPr>
        <w:ind w:hanging="0" w:start="0"/>
        <w:rPr/>
      </w:pPr>
      <w:bookmarkStart w:id="147" w:name="__RefHeading___Toc480081531"/>
      <w:bookmarkEnd w:id="147"/>
      <w:r>
        <w:rPr>
          <w:b/>
          <w:color w:val="0000FF"/>
        </w:rPr>
        <w:t>Further Assurances</w:t>
      </w:r>
      <w:r>
        <w:rPr/>
        <w:t>.  Each Party will do, execute and deliver, or will cause to be done, executed and delivered, all such further acts, documents (including certificates, declarations and affidavits) and such other things as the other Party may request, acting reasonably, for the purpose of giving effect to this Agreement and the Transaction, or for the purpose of establishing compliance with the representations, covenants and conditions of this Agreement.</w:t>
      </w:r>
    </w:p>
    <w:p>
      <w:pPr>
        <w:pStyle w:val="Article8L2"/>
        <w:numPr>
          <w:ilvl w:val="1"/>
          <w:numId w:val="12"/>
        </w:numPr>
        <w:ind w:hanging="0" w:start="0"/>
        <w:rPr/>
      </w:pPr>
      <w:bookmarkStart w:id="148" w:name="__RefHeading___Toc480081532"/>
      <w:bookmarkEnd w:id="148"/>
      <w:r>
        <w:rPr>
          <w:b/>
          <w:color w:val="0000FF"/>
        </w:rPr>
        <w:t>Time of Essence</w:t>
      </w:r>
      <w:r>
        <w:rPr/>
        <w:t>.  Time is of the essence of this Agreement and the Transaction.</w:t>
      </w:r>
    </w:p>
    <w:p>
      <w:pPr>
        <w:pStyle w:val="Article8L2"/>
        <w:numPr>
          <w:ilvl w:val="1"/>
          <w:numId w:val="12"/>
        </w:numPr>
        <w:ind w:hanging="0" w:start="0"/>
        <w:rPr/>
      </w:pPr>
      <w:bookmarkStart w:id="149" w:name="__RefHeading___Toc480081533"/>
      <w:bookmarkEnd w:id="149"/>
      <w:r>
        <w:rPr>
          <w:b/>
          <w:color w:val="0000FF"/>
        </w:rPr>
        <w:t>Counterparts</w:t>
      </w:r>
      <w:r>
        <w:rPr/>
        <w:t>.  This Agreement may be executed in several counterparts, each of which is an original, and all of which together shall constitute one and the same instrument.</w:t>
      </w:r>
    </w:p>
    <w:p>
      <w:pPr>
        <w:pStyle w:val="NumContinue"/>
        <w:keepNext w:val="true"/>
        <w:keepLines/>
        <w:rPr>
          <w:b/>
        </w:rPr>
      </w:pPr>
      <w:r>
        <w:rPr>
          <w:b/>
        </w:rPr>
        <w:t>EXECUTION:</w:t>
      </w:r>
    </w:p>
    <w:p>
      <w:pPr>
        <w:pStyle w:val="NumContinue"/>
        <w:keepNext w:val="true"/>
        <w:keepLines/>
        <w:rPr/>
      </w:pPr>
      <w:r>
        <w:rPr>
          <w:b/>
        </w:rPr>
        <w:tab/>
        <w:t>IN WITNESS WHEREOF</w:t>
      </w:r>
      <w:r>
        <w:rPr/>
        <w:t>, the Parties hereto have executed this Agreement in duplicate originals to be effective as of the date first written above.</w:t>
      </w:r>
    </w:p>
    <w:p>
      <w:pPr>
        <w:pStyle w:val="BodyText"/>
        <w:keepNext w:val="true"/>
        <w:keepLines/>
        <w:spacing w:before="0" w:after="0"/>
        <w:rPr>
          <w:b/>
        </w:rPr>
      </w:pPr>
      <w:r>
        <w:rPr>
          <w:b/>
        </w:rPr>
      </w:r>
    </w:p>
    <w:p>
      <w:pPr>
        <w:pStyle w:val="BodyText"/>
        <w:keepNext w:val="true"/>
        <w:keepLines/>
        <w:ind w:start="5040" w:end="0"/>
        <w:rPr>
          <w:b/>
        </w:rPr>
      </w:pPr>
      <w:r>
        <w:rPr>
          <w:b/>
        </w:rPr>
        <w:t>ENRON CANADA CORP.</w:t>
      </w:r>
    </w:p>
    <w:p>
      <w:pPr>
        <w:pStyle w:val="BodyText"/>
        <w:keepNext w:val="true"/>
        <w:keepLines/>
        <w:ind w:start="5040" w:end="0"/>
        <w:rPr>
          <w:b/>
        </w:rPr>
      </w:pPr>
      <w:r>
        <w:rPr>
          <w:b/>
        </w:rPr>
      </w:r>
    </w:p>
    <w:p>
      <w:pPr>
        <w:pStyle w:val="BodyText"/>
        <w:keepNext w:val="true"/>
        <w:keepLines/>
        <w:spacing w:before="0" w:after="0"/>
        <w:ind w:start="5040" w:end="0"/>
        <w:rPr/>
      </w:pPr>
      <w:r>
        <w:rPr/>
        <w:t>By:</w:t>
        <w:tab/>
      </w:r>
      <w:r>
        <w:rPr>
          <w:u w:val="single"/>
        </w:rPr>
        <w:tab/>
        <w:tab/>
        <w:tab/>
        <w:tab/>
        <w:tab/>
      </w:r>
    </w:p>
    <w:p>
      <w:pPr>
        <w:pStyle w:val="BodyText"/>
        <w:keepNext w:val="true"/>
        <w:keepLines/>
        <w:spacing w:before="0" w:after="0"/>
        <w:ind w:start="5040" w:end="0"/>
        <w:rPr/>
      </w:pPr>
      <w:r>
        <w:rPr/>
        <w:t>Name:</w:t>
        <w:tab/>
        <w:t>P. Robson Milnthorp</w:t>
      </w:r>
    </w:p>
    <w:p>
      <w:pPr>
        <w:pStyle w:val="BodyText"/>
        <w:keepNext w:val="true"/>
        <w:keepLines/>
        <w:spacing w:before="0" w:after="0"/>
        <w:ind w:start="5040" w:end="0"/>
        <w:jc w:val="start"/>
        <w:rPr/>
      </w:pPr>
      <w:r>
        <w:rPr/>
        <w:t>Title:</w:t>
        <w:tab/>
        <w:t xml:space="preserve">President and Chief Executive </w:t>
        <w:tab/>
        <w:t>Officer,</w:t>
      </w:r>
    </w:p>
    <w:p>
      <w:pPr>
        <w:pStyle w:val="BodyText"/>
        <w:keepNext w:val="true"/>
        <w:keepLines/>
        <w:spacing w:before="0" w:after="0"/>
        <w:ind w:start="5040" w:end="0"/>
        <w:jc w:val="start"/>
        <w:rPr/>
      </w:pPr>
      <w:r>
        <w:rPr/>
      </w:r>
    </w:p>
    <w:p>
      <w:pPr>
        <w:pStyle w:val="BodyText"/>
        <w:keepNext w:val="true"/>
        <w:keepLines/>
        <w:spacing w:before="0" w:after="0"/>
        <w:ind w:start="5040" w:end="0"/>
        <w:rPr>
          <w:i/>
          <w:i/>
          <w:sz w:val="20"/>
        </w:rPr>
      </w:pPr>
      <w:r>
        <w:rPr>
          <w:i/>
          <w:sz w:val="20"/>
        </w:rPr>
        <w:t>having the due capacity and authority to execute and deliver, and to authorize the execution, delivery and performance of this Agreement</w:t>
      </w:r>
    </w:p>
    <w:p>
      <w:pPr>
        <w:pStyle w:val="BodyText"/>
        <w:keepNext w:val="true"/>
        <w:keepLines/>
        <w:ind w:start="5040" w:end="0"/>
        <w:rPr>
          <w:i/>
          <w:i/>
          <w:sz w:val="20"/>
        </w:rPr>
      </w:pPr>
      <w:r>
        <w:rPr>
          <w:i/>
          <w:sz w:val="20"/>
        </w:rPr>
      </w:r>
    </w:p>
    <w:p>
      <w:pPr>
        <w:pStyle w:val="BodyText"/>
        <w:keepNext w:val="true"/>
        <w:keepLines/>
        <w:ind w:start="5040" w:end="0"/>
        <w:rPr/>
      </w:pPr>
      <w:r>
        <w:rPr/>
      </w:r>
    </w:p>
    <w:p>
      <w:pPr>
        <w:pStyle w:val="BodyText"/>
        <w:keepNext w:val="true"/>
        <w:keepLines/>
        <w:ind w:start="5040" w:end="0"/>
        <w:rPr>
          <w:b/>
        </w:rPr>
      </w:pPr>
      <w:r>
        <w:rPr>
          <w:b/>
        </w:rPr>
        <w:t>BRITISH ENERGY (CANADA) LTD.</w:t>
      </w:r>
    </w:p>
    <w:p>
      <w:pPr>
        <w:pStyle w:val="BodyText"/>
        <w:keepNext w:val="true"/>
        <w:keepLines/>
        <w:ind w:start="5040" w:end="0"/>
        <w:rPr>
          <w:b/>
        </w:rPr>
      </w:pPr>
      <w:r>
        <w:rPr>
          <w:b/>
        </w:rPr>
      </w:r>
    </w:p>
    <w:p>
      <w:pPr>
        <w:pStyle w:val="BodyText"/>
        <w:keepNext w:val="true"/>
        <w:keepLines/>
        <w:spacing w:before="0" w:after="0"/>
        <w:ind w:start="5040" w:end="0"/>
        <w:rPr/>
      </w:pPr>
      <w:r>
        <w:rPr/>
        <w:t>By:</w:t>
        <w:tab/>
      </w:r>
      <w:r>
        <w:rPr>
          <w:u w:val="single"/>
        </w:rPr>
        <w:tab/>
        <w:tab/>
        <w:tab/>
        <w:tab/>
        <w:tab/>
      </w:r>
    </w:p>
    <w:p>
      <w:pPr>
        <w:pStyle w:val="BodyText"/>
        <w:keepNext w:val="true"/>
        <w:keepLines/>
        <w:spacing w:before="0" w:after="0"/>
        <w:ind w:start="5040" w:end="0"/>
        <w:rPr/>
      </w:pPr>
      <w:r>
        <w:rPr/>
        <w:t>Name:</w:t>
        <w:tab/>
        <w:t>Robin Jeffrey</w:t>
      </w:r>
    </w:p>
    <w:p>
      <w:pPr>
        <w:pStyle w:val="BodyText"/>
        <w:keepNext w:val="true"/>
        <w:keepLines/>
        <w:spacing w:before="0" w:after="0"/>
        <w:ind w:start="5040" w:end="0"/>
        <w:jc w:val="start"/>
        <w:rPr/>
      </w:pPr>
      <w:r>
        <w:rPr/>
        <w:t>Title:</w:t>
        <w:tab/>
        <w:t xml:space="preserve">President and Chief Executive </w:t>
        <w:tab/>
        <w:t>Officer,</w:t>
      </w:r>
    </w:p>
    <w:p>
      <w:pPr>
        <w:pStyle w:val="BodyText"/>
        <w:keepNext w:val="true"/>
        <w:keepLines/>
        <w:spacing w:before="0" w:after="0"/>
        <w:ind w:start="5040" w:end="0"/>
        <w:jc w:val="start"/>
        <w:rPr/>
      </w:pPr>
      <w:r>
        <w:rPr/>
      </w:r>
    </w:p>
    <w:p>
      <w:pPr>
        <w:pStyle w:val="BodyText"/>
        <w:keepNext w:val="true"/>
        <w:keepLines/>
        <w:spacing w:before="0" w:after="0"/>
        <w:ind w:start="5040" w:end="0"/>
        <w:rPr>
          <w:sz w:val="20"/>
        </w:rPr>
      </w:pPr>
      <w:r>
        <w:rPr>
          <w:i/>
          <w:sz w:val="20"/>
        </w:rPr>
        <w:t>having the due capacity and authority to execute and deliver, and to authorize the execution, delivery and performance of this Agreement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152"/>
          <w:pgNumType w:start="1" w:fmt="decimal"/>
          <w:formProt w:val="false"/>
          <w:titlePg/>
          <w:textDirection w:val="lrTb"/>
          <w:docGrid w:type="default" w:linePitch="360" w:charSpace="0"/>
        </w:sectPr>
        <w:pStyle w:val="BodyText"/>
        <w:rPr>
          <w:sz w:val="20"/>
        </w:rPr>
      </w:pPr>
      <w:r>
        <w:rPr>
          <w:sz w:val="20"/>
        </w:rPr>
      </w:r>
    </w:p>
    <w:p>
      <w:pPr>
        <w:pStyle w:val="BodyText"/>
        <w:numPr>
          <w:ilvl w:val="0"/>
          <w:numId w:val="0"/>
        </w:numPr>
        <w:spacing w:before="0" w:after="0"/>
        <w:jc w:val="center"/>
        <w:outlineLvl w:val="0"/>
        <w:rPr>
          <w:b/>
          <w:sz w:val="22"/>
        </w:rPr>
      </w:pPr>
      <w:r>
        <w:rPr>
          <w:b/>
          <w:sz w:val="22"/>
        </w:rPr>
      </w:r>
    </w:p>
    <w:p>
      <w:pPr>
        <w:pStyle w:val="BodyText"/>
        <w:numPr>
          <w:ilvl w:val="0"/>
          <w:numId w:val="0"/>
        </w:numPr>
        <w:spacing w:before="0" w:after="0"/>
        <w:jc w:val="center"/>
        <w:outlineLvl w:val="0"/>
        <w:rPr>
          <w:b/>
        </w:rPr>
      </w:pPr>
      <w:r>
        <w:rPr>
          <w:b/>
        </w:rPr>
        <w:t>EXHIBIT “A”</w:t>
      </w:r>
    </w:p>
    <w:p>
      <w:pPr>
        <w:pStyle w:val="BodyText"/>
        <w:numPr>
          <w:ilvl w:val="0"/>
          <w:numId w:val="0"/>
        </w:numPr>
        <w:spacing w:before="0" w:after="0"/>
        <w:jc w:val="center"/>
        <w:outlineLvl w:val="0"/>
        <w:rPr>
          <w:b/>
          <w:u w:val="single"/>
        </w:rPr>
      </w:pPr>
      <w:r>
        <w:rPr>
          <w:b/>
          <w:u w:val="single"/>
        </w:rPr>
        <w:t>Guarantee Agreement of Buyer’s Guarantor</w:t>
      </w:r>
    </w:p>
    <w:p>
      <w:pPr>
        <w:pStyle w:val="Normal"/>
        <w:jc w:val="center"/>
        <w:rPr>
          <w:b/>
        </w:rPr>
      </w:pPr>
      <w:r>
        <w:rPr>
          <w:b/>
          <w:u w:val="single"/>
        </w:rPr>
        <w:t>GUARANTEE AGREEMENT</w:t>
      </w:r>
    </w:p>
    <w:p>
      <w:pPr>
        <w:pStyle w:val="Heading2"/>
        <w:ind w:firstLine="720" w:start="0" w:end="0"/>
        <w:jc w:val="both"/>
        <w:rPr/>
      </w:pPr>
      <w:r>
        <w:rPr>
          <w:b w:val="false"/>
          <w:i w:val="false"/>
        </w:rPr>
        <w:t>This Guarantee Agreement (this “</w:t>
      </w:r>
      <w:r>
        <w:rPr>
          <w:b w:val="false"/>
          <w:i w:val="false"/>
          <w:u w:val="single"/>
        </w:rPr>
        <w:t>Guarantee</w:t>
      </w:r>
      <w:r>
        <w:rPr>
          <w:b w:val="false"/>
          <w:i w:val="false"/>
        </w:rPr>
        <w:t>”), dated as of April 10</w:t>
      </w:r>
      <w:r>
        <w:rPr>
          <w:b w:val="false"/>
          <w:i w:val="false"/>
          <w:color w:val="0000FF"/>
        </w:rPr>
        <w:t>, 2000,</w:t>
      </w:r>
      <w:r>
        <w:rPr>
          <w:b w:val="false"/>
          <w:i w:val="false"/>
        </w:rPr>
        <w:t xml:space="preserve"> is made and entered into between Enron Corp., an Oregon corporation (“</w:t>
      </w:r>
      <w:r>
        <w:rPr>
          <w:b w:val="false"/>
          <w:i w:val="false"/>
          <w:u w:val="single"/>
        </w:rPr>
        <w:t>Guarantor</w:t>
      </w:r>
      <w:r>
        <w:rPr>
          <w:b w:val="false"/>
          <w:i w:val="false"/>
        </w:rPr>
        <w:t xml:space="preserve">”), and </w:t>
      </w:r>
      <w:r>
        <w:rPr>
          <w:b w:val="false"/>
          <w:i w:val="false"/>
          <w:color w:val="0000FF"/>
        </w:rPr>
        <w:t>British Energy (Canada) Ltd.</w:t>
      </w:r>
      <w:r>
        <w:rPr>
          <w:b w:val="false"/>
          <w:i w:val="false"/>
        </w:rPr>
        <w:t>,</w:t>
      </w:r>
      <w:r>
        <w:rPr>
          <w:b w:val="false"/>
          <w:i w:val="false"/>
          <w:color w:val="0000FF"/>
        </w:rPr>
        <w:t xml:space="preserve"> a corporation</w:t>
      </w:r>
      <w:r>
        <w:rPr>
          <w:b w:val="false"/>
          <w:i w:val="false"/>
        </w:rPr>
        <w:t xml:space="preserve"> continued under the laws of the Province of Ontario (“</w:t>
      </w:r>
      <w:r>
        <w:rPr>
          <w:b w:val="false"/>
          <w:i w:val="false"/>
          <w:u w:val="single"/>
        </w:rPr>
        <w:t>Contract Party</w:t>
      </w:r>
      <w:r>
        <w:rPr>
          <w:b w:val="false"/>
          <w:i w:val="false"/>
        </w:rPr>
        <w:t>”).</w:t>
      </w:r>
    </w:p>
    <w:p>
      <w:pPr>
        <w:pStyle w:val="Heading2"/>
        <w:ind w:firstLine="720" w:start="0" w:end="0"/>
        <w:jc w:val="both"/>
        <w:rPr/>
      </w:pPr>
      <w:r>
        <w:rPr>
          <w:b w:val="false"/>
          <w:i w:val="false"/>
        </w:rPr>
        <w:t>WHEREAS, (a) Contract Party and Enron Canada Corp., a wholly owned indirect subsidiary of Guarantor (“</w:t>
      </w:r>
      <w:r>
        <w:rPr>
          <w:b w:val="false"/>
          <w:i w:val="false"/>
          <w:u w:val="single"/>
        </w:rPr>
        <w:t>Obligor</w:t>
      </w:r>
      <w:r>
        <w:rPr>
          <w:b w:val="false"/>
          <w:i w:val="false"/>
        </w:rPr>
        <w:t>”), are contemplating entering into an Electricity Purchase Agreement of even date herewith and herein incorporated for all purposes (said Agreement, as the same may be from time to time extended, amended, replaced and supplemented, particularly including, without limitation, all Transactions thereunder, the “</w:t>
      </w:r>
      <w:r>
        <w:rPr>
          <w:b w:val="false"/>
          <w:i w:val="false"/>
          <w:u w:val="single"/>
        </w:rPr>
        <w:t>Power Contract</w:t>
      </w:r>
      <w:r>
        <w:rPr>
          <w:b w:val="false"/>
          <w:i w:val="false"/>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ind w:firstLine="360" w:start="0" w:end="0"/>
        <w:jc w:val="both"/>
        <w:rPr>
          <w:b w:val="false"/>
          <w:i w:val="false"/>
          <w:i w:val="false"/>
        </w:rPr>
      </w:pPr>
      <w:r>
        <w:rPr>
          <w:b w:val="false"/>
          <w:i w:val="false"/>
        </w:rPr>
        <w:tab/>
        <w:t>AND WHEREAS, capitalized terms used in this Guarantee but not otherwise defined herein have the meanings ascribed thereto in the Power Contract.</w:t>
      </w:r>
    </w:p>
    <w:p>
      <w:pPr>
        <w:pStyle w:val="Heading2"/>
        <w:ind w:firstLine="720" w:start="0" w:end="0"/>
        <w:jc w:val="both"/>
        <w:rPr>
          <w:b w:val="false"/>
          <w:i w:val="false"/>
          <w:i w:val="false"/>
        </w:rPr>
      </w:pPr>
      <w:r>
        <w:rPr>
          <w:b w:val="false"/>
          <w:i w:val="false"/>
        </w:rPr>
        <w:t>NOW THEREFORE, to induce Contract Party to enter into the Power Contract, Guarantor agrees as follows:</w:t>
      </w:r>
    </w:p>
    <w:p>
      <w:pPr>
        <w:pStyle w:val="Justified"/>
        <w:spacing w:before="0" w:after="0"/>
        <w:rPr>
          <w:b/>
          <w:i/>
          <w:i/>
          <w:sz w:val="24"/>
        </w:rPr>
      </w:pPr>
      <w:r>
        <w:rPr>
          <w:b/>
          <w:i/>
          <w:sz w:val="24"/>
        </w:rPr>
      </w:r>
    </w:p>
    <w:p>
      <w:pPr>
        <w:pStyle w:val="Normal"/>
        <w:ind w:hanging="360" w:start="360" w:end="0"/>
        <w:jc w:val="both"/>
        <w:rPr/>
      </w:pPr>
      <w:r>
        <w:rPr>
          <w:b/>
        </w:rPr>
        <w:t>1.</w:t>
        <w:tab/>
      </w:r>
      <w:r>
        <w:rPr>
          <w:b/>
          <w:u w:val="single"/>
        </w:rPr>
        <w:t>PAYMENT GUARANTEE</w:t>
      </w:r>
      <w:r>
        <w:rPr/>
        <w:t>.  Guarantor absolutely, irrevocably and unconditionally guarantees to Contract Party the full and punctual payment when due, whether by required payment, by acceleration, declaration, demand or otherwise, of all payment obligations of Obligor set forth in the Power Contract and interest thereon accrued as provided in the Power Contract (the “</w:t>
      </w:r>
      <w:r>
        <w:rPr>
          <w:u w:val="single"/>
        </w:rPr>
        <w:t>Obligations</w:t>
      </w:r>
      <w:r>
        <w:rPr/>
        <w:t xml:space="preserve">”); provided, the applicable rate of interest shall never exceed the maximum lawful rate permitted by law.  This Guarantee of payment is a continuing guarantee effective during the term of the Power Contract and until complete performance by Obligor of its payment obligations under the Power Contract.  The Guarantor’s liability to make payment under this Guarantee shall arise forthwith after demand for payment has been made in writing on the Guarantor by the Contract Party and the Guarantor’s liability shall bear interest from the date of such demand at the Interest Rate.  No notice of the Obligations or the Transaction need be given in any form to Guarantor at any time and Guarantor waives any such notice and the right to consent to the Obligations or the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judgement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or under any other security or guarantee held by the Contract Party.  The obligations of Guarantor are several from those of Obligor or any other person or entity, including, without limitation, any other surety for Obligor, and are primary payment obligations concerning which Guarantor is the principal obligor.  To the extent Obligor shall fail to make timely payment of any Obligations, Guarantor shall satisfy its obligations hereunder regardless of whether Contract Party or any other person or entity shall have taken any steps to enforce its rights against Obligor or any other person or entity except Guarantor, provided that, but nothing herein shall permit Contract Party to recover more than any of the amounts due to it.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amalgamation, continuance, dissolution, consolidation or reorganization, (f) except for releases or waivers resulting from the rights or defenses of Obligor that Guarantor has reserved in Section 2, the release or waiver, by operation of law or otherwise, of the performance or observance by Obligor of any express or implied covenant, term or condition in the Power Contract or the unenforceability of any covenant, term or condition thereof,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w:t>
      </w:r>
      <w:r>
        <w:rPr>
          <w:b/>
        </w:rPr>
        <w:t xml:space="preserve"> </w:t>
      </w:r>
      <w:r>
        <w:rPr/>
        <w:t>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w:t>
      </w:r>
      <w:r>
        <w:rPr>
          <w:b/>
        </w:rPr>
        <w:t xml:space="preserve">  </w:t>
      </w:r>
      <w:r>
        <w:rPr/>
        <w:t>Upon thirty (30) days written notice and with the prior written consent of Contract Party, which consent shall not be unreasonably withheld, this Guarantee may be replaced by (a) a guarantee in identical form made by a guarantor(s)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favour of Contract Party issued by a bank and in a form, each of which shall be reasonably satisfactory to Contract Party, taking into consideration all effects on the enforceability of the replacement letter of credit; provided, this Guarantee shall continue to apply to all Obligations in effect at the time this Guarantee is replaced until all such Obligations are completed and the replacement guarantee or letter of credit shall apply to only those Obligations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DEFENSES</w:t>
      </w:r>
      <w:r>
        <w:rPr>
          <w:b/>
        </w:rPr>
        <w:t xml:space="preserve">.  </w:t>
      </w:r>
      <w:r>
        <w:rPr/>
        <w:t>Other than as expressly waived in this Guarantee, Guarantor retains its own defenses and rights hereunder.  Guarantor may assume and assert all rights, setoffs, counterclaims and other defenses of Obligor relating to the Obligations, except for any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3.</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dishonour,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numPr>
          <w:ilvl w:val="0"/>
          <w:numId w:val="4"/>
        </w:numPr>
        <w:jc w:val="both"/>
        <w:rPr/>
      </w:pPr>
      <w:r>
        <w:rPr>
          <w:b/>
          <w:u w:val="single"/>
        </w:rPr>
        <w:t>REPRESENTATIONS AND WARRANTIES</w:t>
      </w:r>
      <w:r>
        <w:rPr/>
        <w:t>.  Guarantor represents and warrants that:  (a) it is a corporation duly organized and validly existing under the laws of the jurisdiction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Date"/>
        <w:spacing w:before="0" w:after="0"/>
        <w:rPr/>
      </w:pPr>
      <w:r>
        <w:rPr/>
      </w:r>
    </w:p>
    <w:p>
      <w:pPr>
        <w:pStyle w:val="Normal"/>
        <w:numPr>
          <w:ilvl w:val="0"/>
          <w:numId w:val="4"/>
        </w:numPr>
        <w:jc w:val="both"/>
        <w:rPr/>
      </w:pPr>
      <w:r>
        <w:rPr>
          <w:b/>
          <w:u w:val="single"/>
        </w:rPr>
        <w:t>TAXES</w:t>
      </w:r>
      <w:r>
        <w:rPr/>
        <w:t>.  Guarantor hereby agrees that:</w:t>
      </w:r>
    </w:p>
    <w:p>
      <w:pPr>
        <w:pStyle w:val="Normal"/>
        <w:numPr>
          <w:ilvl w:val="2"/>
          <w:numId w:val="12"/>
        </w:numPr>
        <w:spacing w:before="120" w:after="120"/>
        <w:jc w:val="both"/>
        <w:rPr/>
      </w:pPr>
      <w:r>
        <w:rPr/>
        <w:t>All payments by Guarantor hereunder shall be made free and clear of and without deduction for, or on account of, any present or future income, stamp or other taxes, levies, fees, duties, withholdings or other charges of any nature whatsoever imposed by any taxing authority, but excluding franchise taxes and taxes imposed on or measured by the net income, capital or receipts of Contract Party (such non-excluded items being called “Associated Taxes”), in the event that any withholding or deduction from any payment to be made by Guarantor hereunder is required in respect of any Associated Taxes pursuant to any applicable law, rule or regulation, then Guarantor will:</w:t>
      </w:r>
    </w:p>
    <w:p>
      <w:pPr>
        <w:pStyle w:val="BodyTextIndent2"/>
        <w:numPr>
          <w:ilvl w:val="3"/>
          <w:numId w:val="12"/>
        </w:numPr>
        <w:spacing w:before="120" w:after="120"/>
        <w:rPr/>
      </w:pPr>
      <w:r>
        <w:rPr/>
        <w:t>pay directly to the relevant authority the full amount required to be so withheld or deducted;</w:t>
      </w:r>
    </w:p>
    <w:p>
      <w:pPr>
        <w:pStyle w:val="Normal"/>
        <w:numPr>
          <w:ilvl w:val="3"/>
          <w:numId w:val="12"/>
        </w:numPr>
        <w:spacing w:before="120" w:after="120"/>
        <w:jc w:val="both"/>
        <w:rPr/>
      </w:pPr>
      <w:r>
        <w:rPr/>
        <w:t>promptly forward to Contract Party an official receipt or other documentation satisfactory to Contract Party evidencing such payment to such authority; and</w:t>
      </w:r>
    </w:p>
    <w:p>
      <w:pPr>
        <w:pStyle w:val="Normal"/>
        <w:numPr>
          <w:ilvl w:val="3"/>
          <w:numId w:val="12"/>
        </w:numPr>
        <w:spacing w:before="120" w:after="120"/>
        <w:jc w:val="both"/>
        <w:rPr/>
      </w:pPr>
      <w:r>
        <w:rPr/>
        <w:t>pay to Contract Party such additional amount or amounts as is necessary to ensure that the net amount actually received by Contract Party will equal the full amount Contract Party would have received had no such withholding or deduction been required.</w:t>
      </w:r>
    </w:p>
    <w:p>
      <w:pPr>
        <w:pStyle w:val="BodyTextIndent2"/>
        <w:spacing w:before="120" w:after="120"/>
        <w:rPr/>
      </w:pPr>
      <w:r>
        <w:rPr/>
        <w:t>Moreover, if any Associated Taxes are directly asserted against Contract Party with respect to any payment received by Contract Party hereunder, Contract Party may pay such Associated Taxes and Guarantor will promptly pay such additional amounts (including any penalties, interest or expenses) as is necessary in order that the net amount received by Contract Party after the payment of such Associated Taxes (including any Associated Taxes on such additional amount) shall equal the amount Contract Party would have received had such Associated Taxes not been asserted.</w:t>
      </w:r>
    </w:p>
    <w:p>
      <w:pPr>
        <w:pStyle w:val="Article8L3"/>
        <w:numPr>
          <w:ilvl w:val="2"/>
          <w:numId w:val="12"/>
        </w:numPr>
        <w:spacing w:before="120" w:after="120"/>
        <w:ind w:hanging="0" w:start="0"/>
        <w:outlineLvl w:val="9"/>
        <w:rPr>
          <w:lang w:val="en-CA"/>
        </w:rPr>
      </w:pPr>
      <w:r>
        <w:rPr/>
        <w:t>If Guarantor fails to pay any Associated Taxes when due to the appropriate taxing authority or fails to remit to Contract Party the required receipts or other required documentary evidence, Guarantor shall indemnify Contract Party for any incremental Associated Taxes, interest or penalties that may become payable by Contract Party as a result of any such failure.</w:t>
      </w:r>
    </w:p>
    <w:p>
      <w:pPr>
        <w:pStyle w:val="NumContinue"/>
        <w:ind w:start="1440" w:end="0"/>
        <w:rPr/>
      </w:pPr>
      <w:r>
        <w:rPr/>
        <w:t>If, after any payment of Associated Taxes by Guarantor under this paragraph, any part of any Associated Tax paid by Contract Party is subsequently recovered by Contract Party, Contract Party shall reimburse Guarantor to the extent of the amount so recovered.</w:t>
      </w:r>
    </w:p>
    <w:p>
      <w:pPr>
        <w:pStyle w:val="Normal"/>
        <w:numPr>
          <w:ilvl w:val="0"/>
          <w:numId w:val="4"/>
        </w:numPr>
        <w:spacing w:before="120" w:after="120"/>
        <w:jc w:val="both"/>
        <w:rPr/>
      </w:pPr>
      <w:r>
        <w:rPr>
          <w:b/>
          <w:u w:val="single"/>
        </w:rPr>
        <w:t>JUDGMENT CURRENCY</w:t>
      </w:r>
      <w:r>
        <w:rPr/>
        <w:t>. Guarantor hereby agrees that payments hereunder on account of the Obligations shall be made in the currency (the “Agreed Currency”) in which each such Obligation is payable and if any payment is received in another currency (the “Other Currency”), such payment shall constitute a discharge of the liability of Guarantor hereunder only to the extent of the amount of the Agreed Currency which Contract Party is able to purchase with the amount of the Other Currency received by it on the Business Day next following such receipt in accordance with normal procedures and after deducting any premium and costs of exchange.</w:t>
      </w:r>
    </w:p>
    <w:p>
      <w:pPr>
        <w:pStyle w:val="Normal"/>
        <w:spacing w:before="120" w:after="120"/>
        <w:ind w:firstLine="360" w:end="0"/>
        <w:jc w:val="both"/>
        <w:rPr/>
      </w:pPr>
      <w:r>
        <w:rPr/>
        <w:t>Guarantor hereby agrees that:</w:t>
      </w:r>
    </w:p>
    <w:p>
      <w:pPr>
        <w:pStyle w:val="Normal"/>
        <w:numPr>
          <w:ilvl w:val="0"/>
          <w:numId w:val="8"/>
        </w:numPr>
        <w:spacing w:before="120" w:after="120"/>
        <w:jc w:val="both"/>
        <w:rPr/>
      </w:pPr>
      <w:r>
        <w:rPr/>
        <w:t>If, for the purpose of obtaining judgment in any court in any jurisdiction, it becomes necessary to convert into a particular currency (the “Judgment Currency”) any amount due in the Agreed Currency, then the conversion shall be made on the basis of the rate of exchange prevailing on the Business Day next following the day on which judgment is given.</w:t>
      </w:r>
    </w:p>
    <w:p>
      <w:pPr>
        <w:pStyle w:val="Normal"/>
        <w:numPr>
          <w:ilvl w:val="0"/>
          <w:numId w:val="8"/>
        </w:numPr>
        <w:spacing w:before="120" w:after="120"/>
        <w:jc w:val="both"/>
        <w:rPr/>
      </w:pPr>
      <w:r>
        <w:rPr/>
        <w:t>The obligation of Guarantor in respect of any such amount due to Contract Party hereunder shall, notwithstanding any judgment in a currency other than the Agreed Currency, be discharged only to the extent that on the Business Day following receipt by Contract Party of any sum adjudged to be so due in such other currency, Contract Party may purchase the Agreed Currency with such other currency after deducting any premiums and costs of exchange.  In the event that the Agreed Currency so purchased is less than the sum originally due to Contract Party in the Agreed Currency, Guarantor, as a separate obligation and notwithstanding any such judgment, hereby indemnifies and holds harmless Contract Party against such loss.</w:t>
      </w:r>
    </w:p>
    <w:p>
      <w:pPr>
        <w:pStyle w:val="Date"/>
        <w:spacing w:before="0" w:after="0"/>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pPr>
      <w:r>
        <w:rPr/>
        <w:t>Enron Corp.</w:t>
      </w:r>
    </w:p>
    <w:p>
      <w:pPr>
        <w:pStyle w:val="Normal"/>
        <w:ind w:hanging="360" w:start="360" w:end="0"/>
        <w:jc w:val="both"/>
        <w:rPr/>
      </w:pPr>
      <w:r>
        <w:rPr/>
        <w:t>1400 Smith Street</w:t>
      </w:r>
    </w:p>
    <w:p>
      <w:pPr>
        <w:pStyle w:val="Normal"/>
        <w:ind w:hanging="360" w:start="360" w:end="0"/>
        <w:jc w:val="both"/>
        <w:rPr/>
      </w:pPr>
      <w:r>
        <w:rPr/>
        <w:t>Houston, Texas  77251</w:t>
      </w:r>
    </w:p>
    <w:p>
      <w:pPr>
        <w:pStyle w:val="Normal"/>
        <w:ind w:hanging="360" w:start="360" w:end="0"/>
        <w:jc w:val="both"/>
        <w:rPr/>
      </w:pPr>
      <w:r>
        <w:rPr/>
        <w:t>Attention:  Vice President, Finance and Treasurer</w:t>
      </w:r>
    </w:p>
    <w:p>
      <w:pPr>
        <w:pStyle w:val="Normal"/>
        <w:ind w:hanging="360" w:start="360" w:end="0"/>
        <w:jc w:val="both"/>
        <w:rPr>
          <w:u w:val="single"/>
        </w:rPr>
      </w:pPr>
      <w:r>
        <w:rPr/>
        <w:t>Facsimile:  (713) 853-3920</w:t>
      </w:r>
    </w:p>
    <w:p>
      <w:pPr>
        <w:pStyle w:val="Normal"/>
        <w:ind w:hanging="360" w:start="360" w:end="0"/>
        <w:jc w:val="both"/>
        <w:rPr>
          <w:u w:val="single"/>
        </w:rPr>
      </w:pPr>
      <w:r>
        <w:rPr>
          <w:u w:val="single"/>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color w:val="0000FF"/>
        </w:rPr>
      </w:pPr>
      <w:r>
        <w:rPr>
          <w:color w:val="0000FF"/>
        </w:rPr>
        <w:t>British Energy (Canada) Ltd.</w:t>
      </w:r>
    </w:p>
    <w:p>
      <w:pPr>
        <w:pStyle w:val="Normal"/>
        <w:ind w:hanging="360" w:start="360" w:end="0"/>
        <w:jc w:val="both"/>
        <w:rPr>
          <w:color w:val="0000FF"/>
        </w:rPr>
      </w:pPr>
      <w:r>
        <w:rPr>
          <w:color w:val="0000FF"/>
        </w:rPr>
        <w:t>Suite 1100, 69 Yonge Street</w:t>
      </w:r>
    </w:p>
    <w:p>
      <w:pPr>
        <w:pStyle w:val="Normal"/>
        <w:ind w:hanging="360" w:start="360" w:end="0"/>
        <w:jc w:val="both"/>
        <w:rPr>
          <w:b/>
          <w:color w:val="0000FF"/>
          <w:u w:val="single"/>
        </w:rPr>
      </w:pPr>
      <w:r>
        <w:rPr>
          <w:color w:val="0000FF"/>
        </w:rPr>
        <w:t>Toronto, Ontario   M5E 1K3</w:t>
      </w:r>
    </w:p>
    <w:p>
      <w:pPr>
        <w:pStyle w:val="Normal"/>
        <w:ind w:hanging="360" w:start="360" w:end="0"/>
        <w:jc w:val="both"/>
        <w:rPr>
          <w:color w:val="0000FF"/>
          <w:u w:val="single"/>
        </w:rPr>
      </w:pPr>
      <w:r>
        <w:rPr>
          <w:color w:val="0000FF"/>
        </w:rPr>
        <w:t>Attention:  Vice President, Finance</w:t>
      </w:r>
    </w:p>
    <w:p>
      <w:pPr>
        <w:pStyle w:val="Normal"/>
        <w:ind w:hanging="360" w:start="360" w:end="0"/>
        <w:jc w:val="both"/>
        <w:rPr>
          <w:color w:val="0000FF"/>
        </w:rPr>
      </w:pPr>
      <w:r>
        <w:rPr>
          <w:color w:val="0000FF"/>
        </w:rPr>
        <w:t>Facsimile:  (416) 214-0845</w:t>
      </w:r>
      <w:r>
        <w:rPr>
          <w:rFonts w:cs="Arial" w:ascii="Arial" w:hAnsi="Arial"/>
          <w:color w:val="0000FF"/>
          <w:sz w:val="20"/>
          <w:u w:val="single"/>
        </w:rPr>
        <w:t xml:space="preserve"> </w:t>
      </w:r>
    </w:p>
    <w:p>
      <w:pPr>
        <w:pStyle w:val="Normal"/>
        <w:ind w:hanging="360" w:start="360" w:end="0"/>
        <w:jc w:val="both"/>
        <w:rPr>
          <w:color w:val="0000FF"/>
        </w:rPr>
      </w:pPr>
      <w:r>
        <w:rPr>
          <w:color w:val="0000FF"/>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5.</w:t>
      </w:r>
    </w:p>
    <w:p>
      <w:pPr>
        <w:pStyle w:val="Normal"/>
        <w:jc w:val="both"/>
        <w:rPr>
          <w:u w:val="single"/>
        </w:rPr>
      </w:pPr>
      <w:r>
        <w:rPr>
          <w:u w:val="single"/>
        </w:rPr>
      </w:r>
    </w:p>
    <w:p>
      <w:pPr>
        <w:pStyle w:val="Normal"/>
        <w:jc w:val="both"/>
        <w:rPr/>
      </w:pPr>
      <w:r>
        <w:rPr>
          <w:b/>
        </w:rPr>
        <w:t>8.</w:t>
        <w:tab/>
      </w:r>
      <w:r>
        <w:rPr>
          <w:b/>
          <w:u w:val="single"/>
        </w:rPr>
        <w:t>LAW, WAIVERS, MISCELLANEOUS</w:t>
      </w:r>
      <w:r>
        <w:rPr/>
        <w:t>.  This Guarantee shall in all respects be governed by, and construed in accordance with, the laws of the Province of Ontario, without regard to principles of conflicts of laws.  Guarantor waives all rights to require marshalling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518"/>
        <w:gridCol w:w="360"/>
        <w:gridCol w:w="4590"/>
      </w:tblGrid>
      <w:tr>
        <w:trPr/>
        <w:tc>
          <w:tcPr>
            <w:tcW w:w="4518" w:type="dxa"/>
            <w:tcBorders/>
          </w:tcPr>
          <w:p>
            <w:pPr>
              <w:pStyle w:val="Normal"/>
              <w:jc w:val="both"/>
              <w:rPr>
                <w:b/>
              </w:rPr>
            </w:pPr>
            <w:r>
              <w:rPr>
                <w:b/>
              </w:rPr>
              <w:t>ENRON CORP.</w:t>
            </w:r>
          </w:p>
        </w:tc>
        <w:tc>
          <w:tcPr>
            <w:tcW w:w="360" w:type="dxa"/>
            <w:tcBorders/>
          </w:tcPr>
          <w:p>
            <w:pPr>
              <w:pStyle w:val="Normal"/>
              <w:snapToGrid w:val="false"/>
              <w:jc w:val="both"/>
              <w:rPr>
                <w:b/>
              </w:rPr>
            </w:pPr>
            <w:r>
              <w:rPr>
                <w:b/>
              </w:rPr>
            </w:r>
          </w:p>
        </w:tc>
        <w:tc>
          <w:tcPr>
            <w:tcW w:w="4590" w:type="dxa"/>
            <w:tcBorders/>
          </w:tcPr>
          <w:p>
            <w:pPr>
              <w:pStyle w:val="Normal"/>
              <w:jc w:val="both"/>
              <w:rPr>
                <w:b/>
              </w:rPr>
            </w:pPr>
            <w:r>
              <w:rPr>
                <w:b/>
                <w:color w:val="0000FF"/>
              </w:rPr>
              <w:t>BRITISH ENERGY (CANADA) LTD.</w:t>
            </w:r>
          </w:p>
        </w:tc>
      </w:tr>
      <w:tr>
        <w:trPr/>
        <w:tc>
          <w:tcPr>
            <w:tcW w:w="4518" w:type="dxa"/>
            <w:tcBorders/>
          </w:tcPr>
          <w:p>
            <w:pPr>
              <w:pStyle w:val="Normal"/>
              <w:snapToGrid w:val="false"/>
              <w:jc w:val="both"/>
              <w:rPr>
                <w:b/>
              </w:rPr>
            </w:pPr>
            <w:r>
              <w:rPr>
                <w:b/>
              </w:rPr>
            </w:r>
          </w:p>
        </w:tc>
        <w:tc>
          <w:tcPr>
            <w:tcW w:w="360" w:type="dxa"/>
            <w:tcBorders/>
          </w:tcPr>
          <w:p>
            <w:pPr>
              <w:pStyle w:val="Normal"/>
              <w:snapToGrid w:val="false"/>
              <w:jc w:val="both"/>
              <w:rPr>
                <w:b/>
              </w:rPr>
            </w:pPr>
            <w:r>
              <w:rPr>
                <w:b/>
              </w:rPr>
            </w:r>
          </w:p>
        </w:tc>
        <w:tc>
          <w:tcPr>
            <w:tcW w:w="4590" w:type="dxa"/>
            <w:tcBorders>
              <w:bottom w:val="single" w:sz="6" w:space="0" w:color="000000"/>
            </w:tcBorders>
          </w:tcPr>
          <w:p>
            <w:pPr>
              <w:pStyle w:val="Normal"/>
              <w:snapToGrid w:val="false"/>
              <w:jc w:val="both"/>
              <w:rPr>
                <w:b/>
              </w:rPr>
            </w:pPr>
            <w:r>
              <w:rPr>
                <w:b/>
              </w:rPr>
            </w:r>
          </w:p>
        </w:tc>
      </w:tr>
      <w:tr>
        <w:trPr/>
        <w:tc>
          <w:tcPr>
            <w:tcW w:w="4518" w:type="dxa"/>
            <w:tcBorders>
              <w:top w:val="single" w:sz="6" w:space="0" w:color="000000"/>
            </w:tcBorders>
          </w:tcPr>
          <w:p>
            <w:pPr>
              <w:pStyle w:val="Normal"/>
              <w:jc w:val="both"/>
              <w:rPr>
                <w:b/>
              </w:rPr>
            </w:pPr>
            <w:r>
              <w:rPr>
                <w:b/>
              </w:rPr>
              <w:t>By:</w:t>
            </w:r>
          </w:p>
        </w:tc>
        <w:tc>
          <w:tcPr>
            <w:tcW w:w="360" w:type="dxa"/>
            <w:tcBorders/>
          </w:tcPr>
          <w:p>
            <w:pPr>
              <w:pStyle w:val="Normal"/>
              <w:snapToGrid w:val="false"/>
              <w:jc w:val="both"/>
              <w:rPr>
                <w:b/>
              </w:rPr>
            </w:pPr>
            <w:r>
              <w:rPr>
                <w:b/>
              </w:rPr>
            </w:r>
          </w:p>
        </w:tc>
        <w:tc>
          <w:tcPr>
            <w:tcW w:w="4590" w:type="dxa"/>
            <w:tcBorders/>
          </w:tcPr>
          <w:p>
            <w:pPr>
              <w:pStyle w:val="Normal"/>
              <w:jc w:val="both"/>
              <w:rPr>
                <w:b/>
              </w:rPr>
            </w:pPr>
            <w:r>
              <w:rPr>
                <w:b/>
              </w:rPr>
              <w:t>By:</w:t>
            </w:r>
          </w:p>
        </w:tc>
      </w:tr>
      <w:tr>
        <w:trPr/>
        <w:tc>
          <w:tcPr>
            <w:tcW w:w="4518" w:type="dxa"/>
            <w:tcBorders>
              <w:top w:val="single" w:sz="6" w:space="0" w:color="000000"/>
              <w:bottom w:val="single" w:sz="4" w:space="0" w:color="000000"/>
            </w:tcBorders>
          </w:tcPr>
          <w:p>
            <w:pPr>
              <w:pStyle w:val="Normal"/>
              <w:jc w:val="both"/>
              <w:rPr>
                <w:b/>
              </w:rPr>
            </w:pPr>
            <w:r>
              <w:rPr>
                <w:b/>
              </w:rPr>
              <w:t>Title:</w:t>
            </w:r>
          </w:p>
        </w:tc>
        <w:tc>
          <w:tcPr>
            <w:tcW w:w="360" w:type="dxa"/>
            <w:tcBorders/>
          </w:tcPr>
          <w:p>
            <w:pPr>
              <w:pStyle w:val="Normal"/>
              <w:snapToGrid w:val="false"/>
              <w:jc w:val="both"/>
              <w:rPr>
                <w:b/>
              </w:rPr>
            </w:pPr>
            <w:r>
              <w:rPr>
                <w:b/>
              </w:rPr>
            </w:r>
          </w:p>
        </w:tc>
        <w:tc>
          <w:tcPr>
            <w:tcW w:w="4590" w:type="dxa"/>
            <w:tcBorders>
              <w:top w:val="single" w:sz="6" w:space="0" w:color="000000"/>
              <w:bottom w:val="single" w:sz="6" w:space="0" w:color="000000"/>
            </w:tcBorders>
          </w:tcPr>
          <w:p>
            <w:pPr>
              <w:pStyle w:val="Normal"/>
              <w:jc w:val="both"/>
              <w:rPr>
                <w:b/>
              </w:rPr>
            </w:pPr>
            <w:r>
              <w:rPr>
                <w:b/>
              </w:rPr>
              <w:t>Title:</w:t>
            </w:r>
          </w:p>
        </w:tc>
      </w:tr>
      <w:tr>
        <w:trPr/>
        <w:tc>
          <w:tcPr>
            <w:tcW w:w="4518" w:type="dxa"/>
            <w:tcBorders/>
          </w:tcPr>
          <w:p>
            <w:pPr>
              <w:pStyle w:val="Normal"/>
              <w:snapToGrid w:val="false"/>
              <w:jc w:val="both"/>
              <w:rPr>
                <w:b/>
              </w:rPr>
            </w:pPr>
            <w:r>
              <w:rPr>
                <w:b/>
              </w:rPr>
            </w:r>
          </w:p>
        </w:tc>
        <w:tc>
          <w:tcPr>
            <w:tcW w:w="360" w:type="dxa"/>
            <w:tcBorders/>
          </w:tcPr>
          <w:p>
            <w:pPr>
              <w:pStyle w:val="Normal"/>
              <w:snapToGrid w:val="false"/>
              <w:jc w:val="both"/>
              <w:rPr>
                <w:b/>
              </w:rPr>
            </w:pPr>
            <w:r>
              <w:rPr>
                <w:b/>
              </w:rPr>
            </w:r>
          </w:p>
        </w:tc>
        <w:tc>
          <w:tcPr>
            <w:tcW w:w="4590" w:type="dxa"/>
            <w:tcBorders>
              <w:top w:val="single" w:sz="6" w:space="0" w:color="000000"/>
            </w:tcBorders>
          </w:tcPr>
          <w:p>
            <w:pPr>
              <w:pStyle w:val="Normal"/>
              <w:snapToGrid w:val="false"/>
              <w:jc w:val="both"/>
              <w:rPr>
                <w:b/>
              </w:rPr>
            </w:pPr>
            <w:r>
              <w:rPr>
                <w:b/>
              </w:rPr>
            </w:r>
          </w:p>
        </w:tc>
      </w:tr>
      <w:tr>
        <w:trPr/>
        <w:tc>
          <w:tcPr>
            <w:tcW w:w="4518" w:type="dxa"/>
            <w:tcBorders/>
          </w:tcPr>
          <w:p>
            <w:pPr>
              <w:pStyle w:val="Normal"/>
              <w:jc w:val="both"/>
              <w:rPr>
                <w:b/>
                <w:sz w:val="20"/>
              </w:rPr>
            </w:pPr>
            <w:r>
              <w:rPr>
                <w:i/>
                <w:sz w:val="20"/>
              </w:rPr>
              <w:t>having the due capacity and authority to execute and deliver, and to authorize the execution, delivery and performance of this Guarantee Agreement</w:t>
            </w:r>
          </w:p>
        </w:tc>
        <w:tc>
          <w:tcPr>
            <w:tcW w:w="360" w:type="dxa"/>
            <w:tcBorders/>
          </w:tcPr>
          <w:p>
            <w:pPr>
              <w:pStyle w:val="Normal"/>
              <w:snapToGrid w:val="false"/>
              <w:jc w:val="both"/>
              <w:rPr>
                <w:b/>
                <w:sz w:val="20"/>
              </w:rPr>
            </w:pPr>
            <w:r>
              <w:rPr>
                <w:b/>
                <w:sz w:val="20"/>
              </w:rPr>
            </w:r>
          </w:p>
        </w:tc>
        <w:tc>
          <w:tcPr>
            <w:tcW w:w="4590" w:type="dxa"/>
            <w:tcBorders/>
          </w:tcPr>
          <w:p>
            <w:pPr>
              <w:pStyle w:val="Normal"/>
              <w:jc w:val="both"/>
              <w:rPr>
                <w:b/>
              </w:rPr>
            </w:pPr>
            <w:r>
              <w:rPr>
                <w:i/>
                <w:sz w:val="20"/>
              </w:rPr>
              <w:t>having the due capacity and authority to execute and deliver, and to authorize the execution, delivery and performance of this Guarantee Agreement</w:t>
            </w:r>
          </w:p>
        </w:tc>
      </w:tr>
    </w:tbl>
    <w:p>
      <w:pPr>
        <w:pStyle w:val="Normal"/>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numPr>
          <w:ilvl w:val="0"/>
          <w:numId w:val="0"/>
        </w:numPr>
        <w:spacing w:before="0" w:after="0"/>
        <w:jc w:val="center"/>
        <w:outlineLvl w:val="0"/>
        <w:rPr>
          <w:b/>
          <w:u w:val="single"/>
        </w:rPr>
      </w:pPr>
      <w:r>
        <w:rPr>
          <w:b/>
          <w:u w:val="single"/>
        </w:rPr>
      </w:r>
    </w:p>
    <w:p>
      <w:pPr>
        <w:pStyle w:val="BodyText"/>
        <w:numPr>
          <w:ilvl w:val="0"/>
          <w:numId w:val="0"/>
        </w:numPr>
        <w:spacing w:before="0" w:after="0"/>
        <w:jc w:val="center"/>
        <w:outlineLvl w:val="0"/>
        <w:rPr>
          <w:b/>
          <w:u w:val="single"/>
        </w:rPr>
      </w:pPr>
      <w:r>
        <w:rPr>
          <w:b/>
          <w:u w:val="single"/>
        </w:rPr>
      </w:r>
    </w:p>
    <w:p>
      <w:pPr>
        <w:pStyle w:val="BodyText"/>
        <w:numPr>
          <w:ilvl w:val="0"/>
          <w:numId w:val="0"/>
        </w:numPr>
        <w:spacing w:before="0" w:after="0"/>
        <w:jc w:val="center"/>
        <w:outlineLvl w:val="0"/>
        <w:rPr>
          <w:b/>
        </w:rPr>
      </w:pPr>
      <w:r>
        <w:rPr>
          <w:b/>
        </w:rPr>
        <w:t>EXHIBIT “B”</w:t>
      </w:r>
    </w:p>
    <w:p>
      <w:pPr>
        <w:pStyle w:val="BodyText"/>
        <w:numPr>
          <w:ilvl w:val="0"/>
          <w:numId w:val="0"/>
        </w:numPr>
        <w:spacing w:before="0" w:after="0"/>
        <w:jc w:val="center"/>
        <w:outlineLvl w:val="0"/>
        <w:rPr>
          <w:b/>
        </w:rPr>
      </w:pPr>
      <w:r>
        <w:rPr>
          <w:b/>
          <w:u w:val="single"/>
        </w:rPr>
        <w:t>Guarantee Agreement of Seller’s Guarantor</w:t>
      </w:r>
    </w:p>
    <w:p>
      <w:pPr>
        <w:pStyle w:val="Normal"/>
        <w:jc w:val="center"/>
        <w:rPr>
          <w:b/>
        </w:rPr>
      </w:pPr>
      <w:r>
        <w:rPr>
          <w:b/>
          <w:u w:val="single"/>
        </w:rPr>
        <w:t>GUARANTEE AGREEMENT</w:t>
      </w:r>
    </w:p>
    <w:p>
      <w:pPr>
        <w:pStyle w:val="Heading2"/>
        <w:ind w:firstLine="720" w:start="0" w:end="0"/>
        <w:jc w:val="both"/>
        <w:rPr/>
      </w:pPr>
      <w:r>
        <w:rPr>
          <w:b w:val="false"/>
          <w:i w:val="false"/>
        </w:rPr>
        <w:t>This Guarantee Agreement (this “</w:t>
      </w:r>
      <w:r>
        <w:rPr>
          <w:b w:val="false"/>
          <w:i w:val="false"/>
          <w:u w:val="single"/>
        </w:rPr>
        <w:t>Guarantee</w:t>
      </w:r>
      <w:r>
        <w:rPr>
          <w:b w:val="false"/>
          <w:i w:val="false"/>
        </w:rPr>
        <w:t xml:space="preserve">”), dated as of </w:t>
      </w:r>
      <w:r>
        <w:rPr>
          <w:b w:val="false"/>
          <w:i w:val="false"/>
          <w:color w:val="0000FF"/>
        </w:rPr>
        <w:t>April 10, 2000</w:t>
      </w:r>
      <w:r>
        <w:rPr>
          <w:b w:val="false"/>
          <w:i w:val="false"/>
        </w:rPr>
        <w:t>, is made and entered into between British Energy plc</w:t>
      </w:r>
      <w:r>
        <w:rPr>
          <w:b w:val="false"/>
          <w:i w:val="false"/>
          <w:color w:val="0000FF"/>
        </w:rPr>
        <w:t>, a public limited company incorporated under the laws of Scotland</w:t>
      </w:r>
      <w:r>
        <w:rPr>
          <w:b w:val="false"/>
          <w:i w:val="false"/>
        </w:rPr>
        <w:t xml:space="preserve"> (“</w:t>
      </w:r>
      <w:r>
        <w:rPr>
          <w:b w:val="false"/>
          <w:i w:val="false"/>
          <w:u w:val="single"/>
        </w:rPr>
        <w:t>Guarantor</w:t>
      </w:r>
      <w:r>
        <w:rPr>
          <w:b w:val="false"/>
          <w:i w:val="false"/>
        </w:rPr>
        <w:t>”), and Enron Canada Corp., a corporation incorporated under the laws of the Province of Alberta (“</w:t>
      </w:r>
      <w:r>
        <w:rPr>
          <w:b w:val="false"/>
          <w:i w:val="false"/>
          <w:u w:val="single"/>
        </w:rPr>
        <w:t>Contract Party</w:t>
      </w:r>
      <w:r>
        <w:rPr>
          <w:b w:val="false"/>
          <w:i w:val="false"/>
        </w:rPr>
        <w:t>”).</w:t>
      </w:r>
    </w:p>
    <w:p>
      <w:pPr>
        <w:pStyle w:val="Heading2"/>
        <w:ind w:firstLine="720" w:start="0" w:end="0"/>
        <w:jc w:val="both"/>
        <w:rPr/>
      </w:pPr>
      <w:r>
        <w:rPr>
          <w:b w:val="false"/>
          <w:i w:val="false"/>
        </w:rPr>
        <w:t xml:space="preserve">WHEREAS, (a) Contract Party and </w:t>
      </w:r>
      <w:r>
        <w:rPr>
          <w:b w:val="false"/>
          <w:i w:val="false"/>
          <w:color w:val="0000FF"/>
        </w:rPr>
        <w:t>British Energy (Canada) Ltd.,</w:t>
      </w:r>
      <w:r>
        <w:rPr>
          <w:b w:val="false"/>
          <w:i w:val="false"/>
        </w:rPr>
        <w:t xml:space="preserve"> a wholly owned subsidiary of Guarantor (“</w:t>
      </w:r>
      <w:r>
        <w:rPr>
          <w:b w:val="false"/>
          <w:i w:val="false"/>
          <w:u w:val="single"/>
        </w:rPr>
        <w:t>Obligor</w:t>
      </w:r>
      <w:r>
        <w:rPr>
          <w:b w:val="false"/>
          <w:i w:val="false"/>
        </w:rPr>
        <w:t>”), are contemplating entering into an Electricity Purchase Agreement of even date herewith and herein incorporated for all purposes (said Agreement, as the same may be from time to time extended, amended, replaced and supplemented, particularly including, without limitation, all Transactions thereunder, the “</w:t>
      </w:r>
      <w:r>
        <w:rPr>
          <w:b w:val="false"/>
          <w:i w:val="false"/>
          <w:u w:val="single"/>
        </w:rPr>
        <w:t>Power Contract</w:t>
      </w:r>
      <w:r>
        <w:rPr>
          <w:b w:val="false"/>
          <w:i w:val="false"/>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ind w:firstLine="360" w:start="0" w:end="0"/>
        <w:jc w:val="both"/>
        <w:rPr>
          <w:b w:val="false"/>
          <w:i w:val="false"/>
          <w:i w:val="false"/>
        </w:rPr>
      </w:pPr>
      <w:r>
        <w:rPr>
          <w:b w:val="false"/>
          <w:i w:val="false"/>
        </w:rPr>
        <w:tab/>
        <w:t>AND WHEREAS, capitalized terms used in this Guarantee but not otherwise defined herein have the meanings ascribed thereto in the Power Contract.</w:t>
      </w:r>
    </w:p>
    <w:p>
      <w:pPr>
        <w:pStyle w:val="Heading2"/>
        <w:ind w:firstLine="720" w:start="0" w:end="0"/>
        <w:jc w:val="both"/>
        <w:rPr>
          <w:b w:val="false"/>
          <w:i w:val="false"/>
          <w:i w:val="false"/>
        </w:rPr>
      </w:pPr>
      <w:r>
        <w:rPr>
          <w:b w:val="false"/>
          <w:i w:val="false"/>
        </w:rPr>
        <w:t>NOW THEREFORE, to induce Contract Party to enter into the Power Contract, Guarantor agrees as follows:</w:t>
      </w:r>
    </w:p>
    <w:p>
      <w:pPr>
        <w:pStyle w:val="Justified"/>
        <w:rPr>
          <w:b/>
          <w:i/>
          <w:i/>
          <w:sz w:val="24"/>
        </w:rPr>
      </w:pPr>
      <w:r>
        <w:rPr>
          <w:b/>
          <w:i/>
          <w:sz w:val="24"/>
        </w:rPr>
      </w:r>
    </w:p>
    <w:p>
      <w:pPr>
        <w:pStyle w:val="Normal"/>
        <w:ind w:hanging="360" w:start="360" w:end="0"/>
        <w:jc w:val="both"/>
        <w:rPr/>
      </w:pPr>
      <w:r>
        <w:rPr>
          <w:b/>
        </w:rPr>
        <w:t>1.</w:t>
        <w:tab/>
      </w:r>
      <w:r>
        <w:rPr>
          <w:b/>
          <w:u w:val="single"/>
        </w:rPr>
        <w:t>PAYMENT GUARANTEE</w:t>
      </w:r>
      <w:r>
        <w:rPr/>
        <w:t>.  Guarantor absolutely, irrevocably and unconditionally guarantees to Contract Party the fully and punctual payment when due, whether by required payment, by acceleration, declaration, demand or otherwise, of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payment obligations under the Power Contract.  The Guarantor’s liability to make payment under this Guarantee shall arise forthwith after demand for payment has been made in writing on the Guarantor by the Contract Party and the Guarantor’s liability shall bear interest from the date of such demand at the Interest Rate.  No notice of the Obligations or the Transaction need be given in any form to Guarantor at any time and Guarantor waives any such notice and the right to consent to the Obligations or the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judgement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or under any other security or guarantee held by the Contract Party.  The obligations of Guarantor are several from those of Obligor or any other person or entity, including, without limitation, any other surety for Obligor, and are primary payment obligations concerning which Guarantor is the principal obligor.  To the extent Obligor shall fail to make timely payment of any Obligations, Guarantor shall satisfy its obligations hereunder regardless of whether Contract Party or any other person or entity shall have taken any steps to enforce its rights against Obligor or any other person or entity except Guarantor, provided that, but nothing herein shall permit Contract Party to recover more than any of the amounts due to it.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amalgamation, continuance, dissolution, consolidation or reorganization, (f) except for releases or waivers resulting from the rights or defenses of Obligor that Guarantor has reserved in Section 2, the release or waiver, by operation of law or otherwise, of the performance or observance by Obligor of any express or implied covenant, term or condition in the Power Contract or the enforceability of any covenant, term or condition thereof,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w:t>
      </w:r>
      <w:r>
        <w:rPr>
          <w:b/>
        </w:rPr>
        <w:t xml:space="preserve">  </w:t>
      </w:r>
      <w:r>
        <w:rPr/>
        <w:t>Upon thirty (30) days written notice and with the prior written consent of Contract Party, which consent shall not be unreasonably withheld, this Guarantee may be replaced by (a) a guarantee in identical form made by a guarantor(s)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favour of Contract Party issued by a bank and in a form, each of which shall be reasonably satisfactory to Contract Party, taking into consideration all effects on the enforceability of the replacement letter of credit; provided, this Guarantee shall continue to apply to all Obligations in effect at the time this Guarantee is replaced until all such Obligations are completed and the replacement guarantee or letter of credit shall apply to only those Obligations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3.</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dishonour,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Date"/>
        <w:tabs>
          <w:tab w:val="clear" w:pos="720"/>
          <w:tab w:val="left" w:pos="360" w:leader="none"/>
        </w:tabs>
        <w:spacing w:before="120" w:after="120"/>
        <w:ind w:hanging="360" w:start="360" w:end="0"/>
        <w:rPr/>
      </w:pPr>
      <w:r>
        <w:rPr>
          <w:b/>
        </w:rPr>
        <w:t>4.</w:t>
        <w:tab/>
      </w:r>
      <w:r>
        <w:rPr>
          <w:b/>
          <w:u w:val="single"/>
        </w:rPr>
        <w:t>REPRESENTATIONS AND WARRANTIES</w:t>
      </w:r>
      <w:r>
        <w:rPr/>
        <w:t xml:space="preserve">.  Guarantor represents and warrants that:  (a) it is a corporation duly organized and validly existing under the laws of the jurisdiction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tabs>
          <w:tab w:val="clear" w:pos="720"/>
          <w:tab w:val="left" w:pos="360" w:leader="none"/>
        </w:tabs>
        <w:spacing w:before="120" w:after="120"/>
        <w:jc w:val="both"/>
        <w:rPr/>
      </w:pPr>
      <w:r>
        <w:rPr>
          <w:b/>
          <w:u w:val="single"/>
        </w:rPr>
        <w:t>5.</w:t>
        <w:tab/>
        <w:t>TAXES</w:t>
      </w:r>
      <w:r>
        <w:rPr/>
        <w:t>.  Guarantor hereby agrees that:</w:t>
      </w:r>
    </w:p>
    <w:p>
      <w:pPr>
        <w:pStyle w:val="Article8L3"/>
        <w:numPr>
          <w:ilvl w:val="2"/>
          <w:numId w:val="17"/>
        </w:numPr>
        <w:tabs>
          <w:tab w:val="clear" w:pos="720"/>
        </w:tabs>
        <w:spacing w:before="120" w:after="120"/>
        <w:ind w:hanging="0" w:start="0"/>
        <w:outlineLvl w:val="9"/>
        <w:rPr>
          <w:lang w:val="en-CA"/>
        </w:rPr>
      </w:pPr>
      <w:r>
        <w:rPr>
          <w:lang w:val="en-CA"/>
        </w:rPr>
        <w:t>All payments by Guarantor hereunder shall be made free and clear of and without deduction for, or on account of, any present or future income, stamp or other taxes, levies, fees, duties, withholdings or other charges of any nature whatsoever imposed by any taxing authority, but excluding franchise taxes and taxes imposed on or measured by the net income, capital or receipts of Contract Party (such non-excluded items being called “Associated Taxes”), in the event that any withholding or deduction from any payment to be made by Guarantor hereunder is required in respect of any Associated Taxes pursuant to any applicable law, rule or regulation, then Guarantor will:</w:t>
      </w:r>
    </w:p>
    <w:p>
      <w:pPr>
        <w:pStyle w:val="BodyTextIndent2"/>
        <w:numPr>
          <w:ilvl w:val="3"/>
          <w:numId w:val="12"/>
        </w:numPr>
        <w:spacing w:before="120" w:after="120"/>
        <w:rPr/>
      </w:pPr>
      <w:r>
        <w:rPr/>
        <w:t>pay directly to the relevant authority the full amount required to be so withheld or deducted;</w:t>
      </w:r>
    </w:p>
    <w:p>
      <w:pPr>
        <w:pStyle w:val="Normal"/>
        <w:numPr>
          <w:ilvl w:val="3"/>
          <w:numId w:val="12"/>
        </w:numPr>
        <w:spacing w:before="120" w:after="120"/>
        <w:jc w:val="both"/>
        <w:rPr/>
      </w:pPr>
      <w:r>
        <w:rPr/>
        <w:t>promptly forward to Contract Party an official receipt or other documentation satisfactory to Contract Party evidencing such payment to such authority; and</w:t>
      </w:r>
    </w:p>
    <w:p>
      <w:pPr>
        <w:pStyle w:val="Normal"/>
        <w:numPr>
          <w:ilvl w:val="3"/>
          <w:numId w:val="12"/>
        </w:numPr>
        <w:spacing w:before="120" w:after="120"/>
        <w:jc w:val="both"/>
        <w:rPr/>
      </w:pPr>
      <w:r>
        <w:rPr/>
        <w:t>pay to Contract Party such additional amount or amounts as is necessary to ensure that the net amount actually received by Contract Party will equal the full amount Contract Party would have received had no such withholding or deduction been required.</w:t>
      </w:r>
    </w:p>
    <w:p>
      <w:pPr>
        <w:pStyle w:val="BodyTextIndent2"/>
        <w:spacing w:before="120" w:after="120"/>
        <w:rPr/>
      </w:pPr>
      <w:r>
        <w:rPr/>
        <w:t>Moreover, if any Associated Taxes are directly asserted against Contract Party with respect to any payment received by Contract Party hereunder, Contract Party may pay such Associated Taxes and Guarantor will promptly pay such additional amounts (including any penalties, interest or expenses) as is necessary in order that the net amount received by Contract Party after the payment of such Associated Taxes (including any Associated Taxes on such additional amount) shall equal the amount Contract Party would have received had such Associated Taxes not been asserted.</w:t>
      </w:r>
    </w:p>
    <w:p>
      <w:pPr>
        <w:pStyle w:val="Article8L3"/>
        <w:numPr>
          <w:ilvl w:val="2"/>
          <w:numId w:val="12"/>
        </w:numPr>
        <w:spacing w:before="120" w:after="120"/>
        <w:ind w:hanging="0" w:start="0"/>
        <w:outlineLvl w:val="9"/>
        <w:rPr>
          <w:lang w:val="en-CA"/>
        </w:rPr>
      </w:pPr>
      <w:r>
        <w:rPr/>
        <w:t>If Guarantor fails to pay any Associated Taxes when due to the appropriate taxing authority or fails to remit to Contract Party the required receipts or other required documentary evidence, Guarantor shall indemnify Contract Party for any incremental Associated Taxes, interest or penalties that may become payable by Contract Party as a result of any such failure.</w:t>
      </w:r>
    </w:p>
    <w:p>
      <w:pPr>
        <w:pStyle w:val="NumContinue"/>
        <w:ind w:start="1440" w:end="0"/>
        <w:rPr/>
      </w:pPr>
      <w:r>
        <w:rPr/>
        <w:t>If, after any payment of Associated Taxes by Guarantor under this paragraph, any part of any Associated Tax paid by Contract Party is subsequently recovered by Contract Party, Contract Party shall reimburse Guarantor to the extent of the amount so recovered.</w:t>
      </w:r>
    </w:p>
    <w:p>
      <w:pPr>
        <w:pStyle w:val="Normal"/>
        <w:tabs>
          <w:tab w:val="clear" w:pos="720"/>
          <w:tab w:val="left" w:pos="360" w:leader="none"/>
        </w:tabs>
        <w:spacing w:before="120" w:after="120"/>
        <w:ind w:hanging="360" w:start="360" w:end="0"/>
        <w:jc w:val="both"/>
        <w:rPr/>
      </w:pPr>
      <w:r>
        <w:rPr>
          <w:b/>
          <w:u w:val="single"/>
        </w:rPr>
        <w:t>6.</w:t>
        <w:tab/>
        <w:t>JUDGMENT CURRENCY</w:t>
      </w:r>
      <w:r>
        <w:rPr/>
        <w:t>. Guarantor hereby agrees that payments hereunder on account of the Obligations shall be made in the currency (the “Agreed Currency”) in which each such Obligation is payable and if any payment is received in another currency (the “Other Currency”), such payment shall constitute a discharge of the liability of Guarantor hereunder only to the extent of the amount of the Agreed Currency which Contract Party is able to purchase with the amount of the Other Currency received by it on the Business Day next following such receipt in accordance with normal procedures and after deducting any premium and costs of exchange.</w:t>
      </w:r>
    </w:p>
    <w:p>
      <w:pPr>
        <w:pStyle w:val="Normal"/>
        <w:spacing w:before="120" w:after="120"/>
        <w:ind w:start="360" w:end="0"/>
        <w:jc w:val="both"/>
        <w:rPr/>
      </w:pPr>
      <w:r>
        <w:rPr/>
        <w:t>Guarantor hereby agrees that:</w:t>
      </w:r>
    </w:p>
    <w:p>
      <w:pPr>
        <w:pStyle w:val="Normal"/>
        <w:numPr>
          <w:ilvl w:val="0"/>
          <w:numId w:val="5"/>
        </w:numPr>
        <w:spacing w:before="120" w:after="120"/>
        <w:jc w:val="both"/>
        <w:rPr/>
      </w:pPr>
      <w:r>
        <w:rPr/>
        <w:t>If, for the purpose of obtaining judgment in any court in any jurisdiction, it becomes necessary to convert into a particular currency (the “Judgment Currency”) any amount due in the Agreed Currency, then the conversion shall be made on the basis of the rate of exchange prevailing on the Business Day next following the day on which judgment is given.</w:t>
      </w:r>
    </w:p>
    <w:p>
      <w:pPr>
        <w:pStyle w:val="Normal"/>
        <w:numPr>
          <w:ilvl w:val="0"/>
          <w:numId w:val="5"/>
        </w:numPr>
        <w:spacing w:before="120" w:after="120"/>
        <w:jc w:val="both"/>
        <w:rPr/>
      </w:pPr>
      <w:r>
        <w:rPr/>
        <w:t>The obligation of Guarantor in respect of any such amount due to Contract Party hereunder shall, notwithstanding any judgment in a currency other than the Agreed Currency, be discharged only to the extent that on the Business Day following receipt by Contract Party of any sum adjudged to be so due in such other currency, Contract Party may purchase the Agreed Currency with such other currency after deducting any premiums and costs of exchange.  In the event that the Agreed Currency so purchased is less than the sum originally due to Contract Party in the Agreed Currency, Guarantor, as a separate obligation and notwithstanding any such judgment, hereby indemnifies and holds harmless Contract Party against such loss.</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color w:val="0000FF"/>
        </w:rPr>
      </w:pPr>
      <w:r>
        <w:rPr>
          <w:color w:val="0000FF"/>
        </w:rPr>
        <w:t>British Energy plc</w:t>
      </w:r>
    </w:p>
    <w:p>
      <w:pPr>
        <w:pStyle w:val="Normal"/>
        <w:ind w:hanging="360" w:start="360" w:end="0"/>
        <w:jc w:val="both"/>
        <w:rPr>
          <w:color w:val="0000FF"/>
          <w:u w:val="single"/>
        </w:rPr>
      </w:pPr>
      <w:r>
        <w:rPr>
          <w:color w:val="0000FF"/>
          <w:u w:val="single"/>
        </w:rPr>
        <w:tab/>
        <w:tab/>
        <w:tab/>
        <w:tab/>
        <w:tab/>
      </w:r>
    </w:p>
    <w:p>
      <w:pPr>
        <w:pStyle w:val="Normal"/>
        <w:ind w:hanging="360" w:start="360" w:end="0"/>
        <w:jc w:val="both"/>
        <w:rPr>
          <w:color w:val="0000FF"/>
          <w:u w:val="single"/>
        </w:rPr>
      </w:pPr>
      <w:r>
        <w:rPr>
          <w:color w:val="0000FF"/>
          <w:u w:val="single"/>
        </w:rPr>
        <w:tab/>
        <w:tab/>
        <w:tab/>
        <w:tab/>
        <w:tab/>
      </w:r>
    </w:p>
    <w:p>
      <w:pPr>
        <w:pStyle w:val="Normal"/>
        <w:ind w:hanging="360" w:start="360" w:end="0"/>
        <w:jc w:val="both"/>
        <w:rPr/>
      </w:pPr>
      <w:r>
        <w:rPr>
          <w:color w:val="0000FF"/>
        </w:rPr>
        <w:t>Attention:</w:t>
      </w:r>
      <w:r>
        <w:rPr>
          <w:color w:val="0000FF"/>
          <w:u w:val="single"/>
        </w:rPr>
        <w:tab/>
        <w:tab/>
        <w:tab/>
      </w:r>
    </w:p>
    <w:p>
      <w:pPr>
        <w:pStyle w:val="Normal"/>
        <w:ind w:hanging="360" w:start="360" w:end="0"/>
        <w:jc w:val="both"/>
        <w:rPr/>
      </w:pPr>
      <w:r>
        <w:rPr>
          <w:color w:val="0000FF"/>
        </w:rPr>
        <w:t>Facsimile:</w:t>
      </w:r>
      <w:r>
        <w:rPr>
          <w:color w:val="0000FF"/>
          <w:u w:val="single"/>
        </w:rPr>
        <w:tab/>
        <w:tab/>
        <w:tab/>
      </w:r>
    </w:p>
    <w:p>
      <w:pPr>
        <w:pStyle w:val="Normal"/>
        <w:ind w:hanging="360" w:start="360" w:end="0"/>
        <w:jc w:val="both"/>
        <w:rPr>
          <w:color w:val="0000FF"/>
          <w:u w:val="single"/>
        </w:rPr>
      </w:pPr>
      <w:r>
        <w:rPr>
          <w:color w:val="0000FF"/>
          <w:u w:val="single"/>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pPr>
      <w:r>
        <w:rPr/>
        <w:t>Enron Canada Corp.</w:t>
      </w:r>
    </w:p>
    <w:p>
      <w:pPr>
        <w:pStyle w:val="Normal"/>
        <w:ind w:hanging="360" w:start="360" w:end="0"/>
        <w:jc w:val="both"/>
        <w:rPr/>
      </w:pPr>
      <w:r>
        <w:rPr/>
        <w:t>3500, 400 - 3rd Avenue S.W.</w:t>
      </w:r>
    </w:p>
    <w:p>
      <w:pPr>
        <w:pStyle w:val="Normal"/>
        <w:ind w:hanging="360" w:start="360" w:end="0"/>
        <w:jc w:val="both"/>
        <w:rPr/>
      </w:pPr>
      <w:r>
        <w:rPr/>
        <w:t>Calgary, Alberta   T2P 4H2</w:t>
      </w:r>
    </w:p>
    <w:p>
      <w:pPr>
        <w:pStyle w:val="Normal"/>
        <w:ind w:hanging="360" w:start="360" w:end="0"/>
        <w:jc w:val="both"/>
        <w:rPr>
          <w:u w:val="single"/>
        </w:rPr>
      </w:pPr>
      <w:r>
        <w:rPr/>
        <w:t>Attention:  Corporate Secretary</w:t>
      </w:r>
    </w:p>
    <w:p>
      <w:pPr>
        <w:pStyle w:val="Normal"/>
        <w:ind w:hanging="360" w:start="360" w:end="0"/>
        <w:jc w:val="both"/>
        <w:rPr/>
      </w:pPr>
      <w:r>
        <w:rPr/>
        <w:t>Facsimile:  (403) 974-6707</w:t>
      </w:r>
    </w:p>
    <w:p>
      <w:pPr>
        <w:pStyle w:val="Normal"/>
        <w:ind w:hanging="360" w:start="360" w:end="0"/>
        <w:jc w:val="both"/>
        <w:rPr/>
      </w:pPr>
      <w:r>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5.</w:t>
      </w:r>
    </w:p>
    <w:p>
      <w:pPr>
        <w:pStyle w:val="Normal"/>
        <w:jc w:val="both"/>
        <w:rPr>
          <w:u w:val="single"/>
        </w:rPr>
      </w:pPr>
      <w:r>
        <w:rPr>
          <w:u w:val="single"/>
        </w:rPr>
      </w:r>
    </w:p>
    <w:p>
      <w:pPr>
        <w:pStyle w:val="Normal"/>
        <w:jc w:val="both"/>
        <w:rPr/>
      </w:pPr>
      <w:r>
        <w:rPr>
          <w:b/>
        </w:rPr>
        <w:t>8.</w:t>
        <w:tab/>
      </w:r>
      <w:r>
        <w:rPr>
          <w:b/>
          <w:u w:val="single"/>
        </w:rPr>
        <w:t>LAW, WAIVERS, MISCELLANEOUS</w:t>
      </w:r>
      <w:r>
        <w:rPr/>
        <w:t>.  This Guarantee shall in all respects be governed by, and construed in accordance with, the laws of the Province of Ontario, without regard to principles of conflicts of laws.  Guarantor waives all rights to require marshalling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b/>
              </w:rPr>
            </w:pPr>
            <w:r>
              <w:rPr>
                <w:b/>
                <w:color w:val="0000FF"/>
              </w:rPr>
              <w:t xml:space="preserve">BRITISH ENERGY PLC </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top w:val="single" w:sz="6" w:space="0" w:color="000000"/>
              <w:bottom w:val="single" w:sz="4"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top w:val="single" w:sz="6" w:space="0" w:color="000000"/>
            </w:tcBorders>
          </w:tcPr>
          <w:p>
            <w:pPr>
              <w:pStyle w:val="Normal"/>
              <w:snapToGrid w:val="false"/>
              <w:jc w:val="both"/>
              <w:rPr>
                <w:b/>
              </w:rPr>
            </w:pPr>
            <w:r>
              <w:rPr>
                <w:b/>
              </w:rPr>
            </w:r>
          </w:p>
        </w:tc>
      </w:tr>
      <w:tr>
        <w:trPr/>
        <w:tc>
          <w:tcPr>
            <w:tcW w:w="4338" w:type="dxa"/>
            <w:tcBorders/>
          </w:tcPr>
          <w:p>
            <w:pPr>
              <w:pStyle w:val="Normal"/>
              <w:jc w:val="both"/>
              <w:rPr>
                <w:b/>
                <w:sz w:val="20"/>
              </w:rPr>
            </w:pPr>
            <w:r>
              <w:rPr>
                <w:i/>
                <w:sz w:val="20"/>
              </w:rPr>
              <w:t>having the due capacity and authority to execute and deliver, and to authorize the execution, delivery and performance of this Guarantee Agreement</w:t>
            </w:r>
          </w:p>
        </w:tc>
        <w:tc>
          <w:tcPr>
            <w:tcW w:w="771" w:type="dxa"/>
            <w:tcBorders/>
          </w:tcPr>
          <w:p>
            <w:pPr>
              <w:pStyle w:val="Normal"/>
              <w:snapToGrid w:val="false"/>
              <w:jc w:val="both"/>
              <w:rPr>
                <w:b/>
                <w:sz w:val="20"/>
              </w:rPr>
            </w:pPr>
            <w:r>
              <w:rPr>
                <w:b/>
                <w:sz w:val="20"/>
              </w:rPr>
            </w:r>
          </w:p>
        </w:tc>
        <w:tc>
          <w:tcPr>
            <w:tcW w:w="4359" w:type="dxa"/>
            <w:tcBorders/>
          </w:tcPr>
          <w:p>
            <w:pPr>
              <w:pStyle w:val="Normal"/>
              <w:jc w:val="both"/>
              <w:rPr>
                <w:b/>
                <w:sz w:val="20"/>
              </w:rPr>
            </w:pPr>
            <w:r>
              <w:rPr>
                <w:i/>
                <w:sz w:val="20"/>
              </w:rPr>
              <w:t>having the due capacity and authority to execute and deliver, and to authorize the execution, delivery and performance of this Guarantee Agreement</w:t>
            </w:r>
          </w:p>
        </w:tc>
      </w:tr>
    </w:tbl>
    <w:p>
      <w:pPr>
        <w:pStyle w:val="Normal"/>
        <w:jc w:val="both"/>
        <w:rPr/>
      </w:pPr>
      <w:r>
        <w:rPr/>
      </w:r>
    </w:p>
    <w:p>
      <w:pPr>
        <w:pStyle w:val="BodyText"/>
        <w:spacing w:before="0" w:after="240"/>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Naomi Camden" w:date="0-00-00T00:00:00Z" w:initials="nlc">
    <w:p>
      <w:pPr>
        <w:overflowPunct w:val="false"/>
        <w:bidi w:val="0"/>
        <w:spacing w:before="0" w:after="240"/>
        <w:jc w:val="both"/>
        <w:rPr/>
      </w:pPr>
      <w:r>
        <w:annotationRef/>
      </w:r>
      <w:r>
        <w:rPr>
          <w:rFonts w:ascii="Times New Roman" w:hAnsi="Times New Roman" w:eastAsia="Times New Roman" w:cs="Times New Roman"/>
          <w:color w:val="auto"/>
          <w:sz w:val="20"/>
          <w:szCs w:val="20"/>
          <w:lang w:bidi="en-US" w:eastAsia="en-US" w:val="en-CA"/>
        </w:rPr>
        <w:t>Please check and ensure that all page numbers are right aligned in the Table of Contents, as the system is not aligning all the headings. Thanks.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30289951.1</w:t>
    </w:r>
    <w:r>
      <w:rPr/>
      <w:fldChar w:fldCharType="end"/>
    </w:r>
    <w:r>
      <w:rPr/>
      <w:fldChar w:fldCharType="begin"/>
    </w:r>
    <w:r>
      <w:rPr/>
      <w:instrText xml:space="preserve"> DOCPROPERTY "DOCID"</w:instrText>
    </w:r>
    <w:r>
      <w:rPr/>
      <w:fldChar w:fldCharType="separate"/>
    </w:r>
    <w:r>
      <w:rPr/>
      <w:t>30289951.1</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I:\legal\finance\british energy\power purch agt.british energy.doc</w:t>
      <w:tab/>
      <w:tab/>
    </w:r>
    <w:r>
      <w:rPr>
        <w:rStyle w:val="PageNumber"/>
      </w:rPr>
      <w:tab/>
    </w:r>
    <w:r>
      <w:rPr/>
      <w:tab/>
      <w:tab/>
      <w:t>February 25, 2000  8:40:27 AM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6480" w:leader="none"/>
      </w:tabs>
      <w:rPr/>
    </w:pPr>
    <w:r>
      <w:rPr>
        <w:rFonts w:cs="Arial Narrow" w:ascii="Arial Narrow" w:hAnsi="Arial Narrow"/>
        <w:lang w:eastAsia="en-US"/>
      </w:rPr>
      <w:fldChar w:fldCharType="begin"/>
    </w:r>
    <w:r>
      <w:rPr>
        <w:rFonts w:cs="Arial Narrow" w:ascii="Arial Narrow" w:hAnsi="Arial Narrow"/>
        <w:lang w:eastAsia="en-US"/>
      </w:rPr>
      <w:instrText xml:space="preserve"> FILENAME \p </w:instrText>
    </w:r>
    <w:r>
      <w:rPr>
        <w:rFonts w:cs="Arial Narrow" w:ascii="Arial Narrow" w:hAnsi="Arial Narrow"/>
        <w:lang w:eastAsia="en-US"/>
      </w:rPr>
      <w:fldChar w:fldCharType="separate"/>
    </w:r>
    <w:r>
      <w:rPr>
        <w:rFonts w:cs="Arial Narrow" w:ascii="Arial Narrow" w:hAnsi="Arial Narrow"/>
        <w:lang w:eastAsia="en-US"/>
      </w:rPr>
      <w:t>/mnt/main-storage/datasets/enron-docs/doc/power_purch_agt2l.clean.doc</w:t>
    </w:r>
    <w:r>
      <w:rPr>
        <w:rFonts w:cs="Arial Narrow" w:ascii="Arial Narrow" w:hAnsi="Arial Narrow"/>
        <w:lang w:eastAsia="en-US"/>
      </w:rPr>
      <w:fldChar w:fldCharType="end"/>
    </w:r>
    <w:r>
      <w:rPr>
        <w:rFonts w:cs="Arial Narrow" w:ascii="Arial Narrow" w:hAnsi="Arial Narrow"/>
      </w:rPr>
      <w:tab/>
      <w:tab/>
    </w:r>
    <w:r>
      <w:rPr>
        <w:rFonts w:cs="Arial Narrow" w:ascii="Arial Narrow" w:hAnsi="Arial Narrow"/>
      </w:rPr>
      <w:fldChar w:fldCharType="begin"/>
    </w:r>
    <w:r>
      <w:rPr>
        <w:rFonts w:cs="Arial Narrow" w:ascii="Arial Narrow" w:hAnsi="Arial Narrow"/>
      </w:rPr>
      <w:instrText xml:space="preserve"> DATE \@"MMMM\ d', 'yyyy" </w:instrText>
    </w:r>
    <w:r>
      <w:rPr>
        <w:rFonts w:cs="Arial Narrow" w:ascii="Arial Narrow" w:hAnsi="Arial Narrow"/>
      </w:rPr>
      <w:fldChar w:fldCharType="separate"/>
    </w:r>
    <w:r>
      <w:rPr>
        <w:rFonts w:cs="Arial Narrow" w:ascii="Arial Narrow" w:hAnsi="Arial Narrow"/>
      </w:rPr>
      <w:t>September 28, 2025</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TIME \@"H:mm\ AM/PM" </w:instrText>
    </w:r>
    <w:r>
      <w:rPr>
        <w:rFonts w:cs="Arial Narrow" w:ascii="Arial Narrow" w:hAnsi="Arial Narrow"/>
      </w:rPr>
      <w:fldChar w:fldCharType="separate"/>
    </w:r>
    <w:r>
      <w:rPr>
        <w:rFonts w:cs="Arial Narrow" w:ascii="Arial Narrow" w:hAnsi="Arial Narrow"/>
      </w:rPr>
      <w:t>9:36 AM</w:t>
    </w:r>
    <w:r>
      <w:rPr>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rPr/>
    </w:pPr>
    <w:r>
      <w:rPr/>
    </w:r>
  </w:p>
  <w:p>
    <w:pPr>
      <w:pStyle w:val="Header"/>
      <w:rPr/>
    </w:pPr>
    <w:r>
      <w:rPr/>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 xml:space="preserve">Final Version - </w:t>
    </w:r>
    <w:r>
      <w:rPr>
        <w:b/>
        <w:sz w:val="20"/>
      </w:rPr>
      <w:fldChar w:fldCharType="begin"/>
    </w:r>
    <w:r>
      <w:rPr>
        <w:sz w:val="20"/>
        <w:b/>
      </w:rPr>
      <w:instrText xml:space="preserve"> DATE \@"MMMM\ d', 'yyyy" </w:instrText>
    </w:r>
    <w:r>
      <w:rPr>
        <w:sz w:val="20"/>
        <w:b/>
      </w:rPr>
      <w:fldChar w:fldCharType="separate"/>
    </w:r>
    <w:r>
      <w:rPr>
        <w:sz w:val="20"/>
        <w:b/>
      </w:rPr>
      <w:t>September 28, 2025</w:t>
    </w:r>
    <w:r>
      <w:rPr>
        <w:sz w:val="20"/>
        <w:b/>
      </w:rPr>
      <w:fldChar w:fldCharType="end"/>
    </w:r>
  </w:p>
  <w:p>
    <w:pPr>
      <w:pStyle w:val="Header"/>
      <w:jc w:val="end"/>
      <w:rPr>
        <w:b/>
        <w:sz w:val="20"/>
      </w:rPr>
    </w:pPr>
    <w:r>
      <w:rPr>
        <w:b/>
        <w:sz w:val="20"/>
      </w:rPr>
    </w:r>
  </w:p>
  <w:p>
    <w:pPr>
      <w:pStyle w:val="Header"/>
      <w:jc w:val="end"/>
      <w:rPr>
        <w:b/>
        <w:sz w:val="20"/>
      </w:rPr>
    </w:pPr>
    <w:r>
      <w:rPr>
        <w:b/>
        <w:sz w:val="20"/>
      </w:rPr>
    </w:r>
  </w:p>
  <w:p>
    <w:pPr>
      <w:pStyle w:val="Header"/>
      <w:jc w:val="end"/>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 xml:space="preserve">Final Version - </w:t>
    </w:r>
    <w:r>
      <w:rPr>
        <w:b/>
        <w:sz w:val="20"/>
      </w:rPr>
      <w:fldChar w:fldCharType="begin"/>
    </w:r>
    <w:r>
      <w:rPr>
        <w:sz w:val="20"/>
        <w:b/>
      </w:rPr>
      <w:instrText xml:space="preserve"> DATE \@"MMMM\ d', 'yyyy" </w:instrText>
    </w:r>
    <w:r>
      <w:rPr>
        <w:sz w:val="20"/>
        <w:b/>
      </w:rPr>
      <w:fldChar w:fldCharType="separate"/>
    </w:r>
    <w:r>
      <w:rPr>
        <w:sz w:val="20"/>
        <w:b/>
      </w:rPr>
      <w:t>September 28, 2025</w:t>
    </w:r>
    <w:r>
      <w:rPr>
        <w:sz w:val="20"/>
        <w: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u w:val="single"/>
      </w:rPr>
    </w:pPr>
    <w:r>
      <w:rPr>
        <w:b/>
      </w:rPr>
      <w:t>TABLE OF CONTENTS</w:t>
    </w:r>
  </w:p>
  <w:p>
    <w:pPr>
      <w:pStyle w:val="Normal"/>
      <w:tabs>
        <w:tab w:val="clear" w:pos="720"/>
        <w:tab w:val="center" w:pos="4680" w:leader="none"/>
        <w:tab w:val="right" w:pos="9360" w:leader="none"/>
      </w:tabs>
      <w:jc w:val="center"/>
      <w:rPr>
        <w:b/>
      </w:rPr>
    </w:pPr>
    <w:r>
      <w:rPr>
        <w:b/>
      </w:rPr>
      <w:t>(continued)</w:t>
    </w:r>
  </w:p>
  <w:p>
    <w:pPr>
      <w:pStyle w:val="Normal"/>
      <w:tabs>
        <w:tab w:val="clear" w:pos="720"/>
        <w:tab w:val="center" w:pos="4680" w:leader="none"/>
        <w:tab w:val="right" w:pos="9360" w:leader="none"/>
      </w:tabs>
      <w:spacing w:before="0" w:after="200"/>
      <w:jc w:val="end"/>
      <w:rPr>
        <w:u w:val="single"/>
      </w:rPr>
    </w:pPr>
    <w:r>
      <w:rPr>
        <w:b/>
      </w:rPr>
      <w:t>Page</w:t>
    </w:r>
  </w:p>
  <w:p>
    <w:pPr>
      <w:pStyle w:val="Header"/>
      <w:tabs>
        <w:tab w:val="clear" w:pos="720"/>
        <w:tab w:val="center" w:pos="4680" w:leader="none"/>
        <w:tab w:val="right" w:pos="9360" w:leader="none"/>
      </w:tabs>
      <w:rPr>
        <w:u w:val="single"/>
      </w:rPr>
    </w:pPr>
    <w:r>
      <w:rPr>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ticle1L1"/>
      <w:numPr>
        <w:ilvl w:val="0"/>
        <w:numId w:val="0"/>
      </w:numPr>
      <w:tabs>
        <w:tab w:val="clear" w:pos="720"/>
        <w:tab w:val="center" w:pos="4680" w:leader="none"/>
        <w:tab w:val="right" w:pos="9360" w:leader="none"/>
      </w:tabs>
      <w:spacing w:before="0" w:after="0"/>
      <w:ind w:hanging="0" w:start="0"/>
      <w:rPr>
        <w:lang w:val="en-CA"/>
      </w:rPr>
    </w:pPr>
    <w:r>
      <w:rPr>
        <w:lang w:val="en-CA"/>
      </w:rPr>
      <w:t>TABLE OF CONTENTS</w:t>
    </w:r>
  </w:p>
  <w:p>
    <w:pPr>
      <w:pStyle w:val="Normal"/>
      <w:tabs>
        <w:tab w:val="clear" w:pos="720"/>
        <w:tab w:val="center" w:pos="4680" w:leader="none"/>
        <w:tab w:val="right" w:pos="9360" w:leader="none"/>
      </w:tabs>
      <w:jc w:val="center"/>
      <w:rPr>
        <w:b/>
        <w:lang w:val="en-CA"/>
      </w:rPr>
    </w:pPr>
    <w:r>
      <w:rPr>
        <w:b/>
        <w:lang w:val="en-CA"/>
      </w:rPr>
    </w:r>
  </w:p>
  <w:p>
    <w:pPr>
      <w:pStyle w:val="Normal"/>
      <w:tabs>
        <w:tab w:val="clear" w:pos="720"/>
        <w:tab w:val="center" w:pos="4680" w:leader="none"/>
        <w:tab w:val="right" w:pos="9360" w:leader="none"/>
      </w:tabs>
      <w:jc w:val="center"/>
      <w:rPr>
        <w:b/>
      </w:rPr>
    </w:pPr>
    <w:r>
      <w:rPr>
        <w:b/>
      </w:rPr>
    </w:r>
  </w:p>
  <w:p>
    <w:pPr>
      <w:pStyle w:val="Normal"/>
      <w:tabs>
        <w:tab w:val="clear" w:pos="720"/>
        <w:tab w:val="center" w:pos="4680" w:leader="none"/>
        <w:tab w:val="right" w:pos="9360" w:leader="none"/>
      </w:tabs>
      <w:spacing w:before="0" w:after="200"/>
      <w:jc w:val="end"/>
      <w:rPr>
        <w:u w:val="single"/>
      </w:rPr>
    </w:pPr>
    <w:r>
      <w:rPr>
        <w:b/>
      </w:rPr>
      <w:t>Page</w:t>
    </w:r>
  </w:p>
  <w:p>
    <w:pPr>
      <w:pStyle w:val="Header"/>
      <w:tabs>
        <w:tab w:val="clear" w:pos="720"/>
        <w:tab w:val="center" w:pos="4680" w:leader="none"/>
        <w:tab w:val="right" w:pos="936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 w:val="center" w:pos="4860" w:leader="none"/>
        <w:tab w:val="right" w:pos="9180" w:leader="none"/>
      </w:tabs>
      <w:rPr/>
    </w:pPr>
    <w:r>
      <w:rPr/>
      <w:tab/>
      <w:t xml:space="preserve">- </w:t>
    </w:r>
    <w:r>
      <w:rPr/>
      <w:fldChar w:fldCharType="begin"/>
    </w:r>
    <w:r>
      <w:rPr/>
      <w:instrText xml:space="preserve"> PAGE </w:instrText>
    </w:r>
    <w:r>
      <w:rPr/>
      <w:fldChar w:fldCharType="separate"/>
    </w:r>
    <w:r>
      <w:rPr/>
      <w:t>35</w:t>
    </w:r>
    <w:r>
      <w:rPr/>
      <w:fldChar w:fldCharType="end"/>
    </w:r>
    <w:r>
      <w:rPr/>
      <w:t xml:space="preserve"> -</w:t>
    </w:r>
    <w:r>
      <w:rPr>
        <w:b/>
        <w:sz w:val="20"/>
      </w:rPr>
      <w:t xml:space="preserve"> </w:t>
      <w:tab/>
      <w:t>Final Version – April 11, 2000</w:t>
    </w:r>
  </w:p>
  <w:p>
    <w:pPr>
      <w:pStyle w:val="Header"/>
      <w:rPr/>
    </w:pPr>
    <w:r>
      <w:rPr/>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sz w:val="20"/>
      </w:rPr>
      <w:tab/>
      <w:tab/>
      <w:t xml:space="preserve">Final Version - </w:t>
    </w:r>
    <w:r>
      <w:rPr>
        <w:b/>
        <w:sz w:val="20"/>
      </w:rPr>
      <w:fldChar w:fldCharType="begin"/>
    </w:r>
    <w:r>
      <w:rPr>
        <w:sz w:val="20"/>
        <w:b/>
      </w:rPr>
      <w:instrText xml:space="preserve"> DATE \@"MMMM\ d', 'yyyy" </w:instrText>
    </w:r>
    <w:r>
      <w:rPr>
        <w:sz w:val="20"/>
        <w:b/>
      </w:rPr>
      <w:fldChar w:fldCharType="separate"/>
    </w:r>
    <w:r>
      <w:rPr>
        <w:sz w:val="20"/>
        <w:b/>
      </w:rPr>
      <w:t>September 28, 2025</w:t>
    </w:r>
    <w:r>
      <w:rPr>
        <w:sz w:val="20"/>
        <w:b/>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6</w:t>
    </w:r>
    <w:r>
      <w:rPr/>
      <w:fldChar w:fldCharType="end"/>
    </w:r>
    <w:r>
      <w:rPr/>
      <w:t xml:space="preserve"> -</w:t>
    </w:r>
  </w:p>
  <w:p>
    <w:pPr>
      <w:pStyle w:val="Header"/>
      <w:rPr/>
    </w:pPr>
    <w:r>
      <w:rPr/>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 xml:space="preserve">Final Version - </w:t>
    </w:r>
    <w:r>
      <w:rPr>
        <w:b/>
        <w:sz w:val="20"/>
      </w:rPr>
      <w:fldChar w:fldCharType="begin"/>
    </w:r>
    <w:r>
      <w:rPr>
        <w:sz w:val="20"/>
        <w:b/>
      </w:rPr>
      <w:instrText xml:space="preserve"> DATE \@"MMMM\ d', 'yyyy" </w:instrText>
    </w:r>
    <w:r>
      <w:rPr>
        <w:sz w:val="20"/>
        <w:b/>
      </w:rPr>
      <w:fldChar w:fldCharType="separate"/>
    </w:r>
    <w:r>
      <w:rPr>
        <w:sz w:val="20"/>
        <w:b/>
      </w:rPr>
      <w:t>September 28, 2025</w:t>
    </w:r>
    <w:r>
      <w:rPr>
        <w:sz w:val="20"/>
        <w:b/>
      </w:rPr>
      <w:fldChar w:fldCharType="end"/>
    </w:r>
  </w:p>
  <w:p>
    <w:pPr>
      <w:pStyle w:val="Header"/>
      <w:jc w:val="end"/>
      <w:rPr>
        <w:b/>
        <w:sz w:val="20"/>
      </w:rPr>
    </w:pPr>
    <w:r>
      <w:rPr>
        <w:b/>
        <w:sz w:val="20"/>
      </w:rPr>
    </w:r>
  </w:p>
  <w:p>
    <w:pPr>
      <w:pStyle w:val="Header"/>
      <w:jc w:val="end"/>
      <w:rPr>
        <w:b/>
        <w:sz w:val="20"/>
      </w:rPr>
    </w:pPr>
    <w:r>
      <w:rPr>
        <w:b/>
        <w:sz w:val="20"/>
      </w:rPr>
    </w:r>
  </w:p>
  <w:p>
    <w:pPr>
      <w:pStyle w:val="Header"/>
      <w:jc w:val="end"/>
      <w:rPr>
        <w:b/>
        <w:sz w:val="20"/>
      </w:rPr>
    </w:pPr>
    <w:r>
      <w:rPr>
        <w:b/>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6</w:t>
    </w:r>
    <w:r>
      <w:rPr/>
      <w:fldChar w:fldCharType="end"/>
    </w:r>
    <w:r>
      <w:rPr/>
      <w:t xml:space="preserve"> -</w:t>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3"/>
      <w:numFmt w:val="lowerLetter"/>
      <w:lvlText w:val="(%1)"/>
      <w:lvlJc w:val="start"/>
      <w:pPr>
        <w:tabs>
          <w:tab w:val="num" w:pos="720"/>
        </w:tabs>
        <w:ind w:start="720" w:hanging="720"/>
      </w:pPr>
      <w:rPr/>
    </w:lvl>
  </w:abstractNum>
  <w:abstractNum w:abstractNumId="4">
    <w:lvl w:ilvl="0">
      <w:start w:val="4"/>
      <w:numFmt w:val="decimal"/>
      <w:lvlText w:val="%1."/>
      <w:lvlJc w:val="start"/>
      <w:pPr>
        <w:tabs>
          <w:tab w:val="num" w:pos="360"/>
        </w:tabs>
        <w:ind w:start="360" w:hanging="360"/>
      </w:pPr>
      <w:rPr>
        <w:b/>
      </w:r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lowerRoman"/>
      <w:lvlText w:val="(%1)"/>
      <w:lvlJc w:val="start"/>
      <w:pPr>
        <w:tabs>
          <w:tab w:val="num" w:pos="1440"/>
        </w:tabs>
        <w:ind w:start="1080" w:hanging="360"/>
      </w:pPr>
      <w:rPr/>
    </w:lvl>
  </w:abstractNum>
  <w:abstractNum w:abstractNumId="8">
    <w:lvl w:ilvl="0">
      <w:start w:val="1"/>
      <w:numFmt w:val="lowerLetter"/>
      <w:lvlText w:val="(%1)"/>
      <w:lvlJc w:val="start"/>
      <w:pPr>
        <w:tabs>
          <w:tab w:val="num" w:pos="720"/>
        </w:tabs>
        <w:ind w:start="720" w:hanging="36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1"/>
      <w:numFmt w:val="lowerRoman"/>
      <w:lvlText w:val="(%1)"/>
      <w:lvlJc w:val="start"/>
      <w:pPr>
        <w:tabs>
          <w:tab w:val="num" w:pos="1440"/>
        </w:tabs>
        <w:ind w:start="1080" w:hanging="360"/>
      </w:pPr>
      <w:rPr/>
    </w:lvl>
  </w:abstractNum>
  <w:abstractNum w:abstractNumId="11">
    <w:lvl w:ilvl="0">
      <w:start w:val="1"/>
      <w:numFmt w:val="upperLetter"/>
      <w:lvlText w:val="%1."/>
      <w:lvlJc w:val="start"/>
      <w:pPr>
        <w:tabs>
          <w:tab w:val="num" w:pos="2880"/>
        </w:tabs>
        <w:ind w:start="2880" w:hanging="720"/>
      </w:pPr>
      <w:rPr/>
    </w:lvl>
  </w:abstractNum>
  <w:abstractNum w:abstractNumId="1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1"/>
      <w:numFmt w:val="lowerRoman"/>
      <w:lvlText w:val="(%1)"/>
      <w:lvlJc w:val="start"/>
      <w:pPr>
        <w:tabs>
          <w:tab w:val="num" w:pos="1440"/>
        </w:tabs>
        <w:ind w:start="1080" w:hanging="360"/>
      </w:pPr>
      <w:rPr/>
    </w:lvl>
  </w:abstractNum>
  <w:abstractNum w:abstractNumId="14">
    <w:lvl w:ilvl="0">
      <w:start w:val="1"/>
      <w:numFmt w:val="upperLetter"/>
      <w:lvlText w:val="%1."/>
      <w:lvlJc w:val="start"/>
      <w:pPr>
        <w:tabs>
          <w:tab w:val="num" w:pos="2880"/>
        </w:tabs>
        <w:ind w:start="2880" w:hanging="720"/>
      </w:pPr>
      <w:rPr/>
    </w:lvl>
  </w:abstractNum>
  <w:abstractNum w:abstractNumId="15">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end"/>
      <w:pPr>
        <w:tabs>
          <w:tab w:val="num" w:pos="3024"/>
        </w:tabs>
        <w:ind w:start="3024"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Letter"/>
      <w:lvlText w:val="(%6)"/>
      <w:lvlJc w:val="start"/>
      <w:pPr>
        <w:tabs>
          <w:tab w:val="num" w:pos="3744"/>
        </w:tabs>
        <w:ind w:start="3744"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upperRoman"/>
      <w:lvlText w:val="(%7)"/>
      <w:lvlJc w:val="end"/>
      <w:pPr>
        <w:tabs>
          <w:tab w:val="num" w:pos="4608"/>
        </w:tabs>
        <w:ind w:start="4608" w:hanging="432"/>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2"/>
    <w:lvlOverride w:ilvl="0">
      <w:startOverride w:val="1"/>
    </w:lvlOverride>
    <w:lvlOverride w:ilvl="1">
      <w:startOverride w:val="1"/>
    </w:lvlOverride>
    <w:lvlOverride w:ilvl="2">
      <w:startOverride w:val="1"/>
    </w:lvlOverride>
  </w:num>
  <w:num w:numId="17">
    <w:abstractNumId w:val="12"/>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docVars>
    <w:docVar w:name="DocXParaNum" w:val="Done"/>
    <w:docVar w:name="zzmpFixedCurrentTOCScheme" w:val="Article2"/>
    <w:docVar w:name="zzmpFixedCurScheme" w:val="Article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numPr>
        <w:ilvl w:val="2"/>
        <w:numId w:val="1"/>
      </w:numPr>
      <w:spacing w:before="240" w:after="60"/>
      <w:outlineLvl w:val="2"/>
    </w:pPr>
    <w:rPr/>
  </w:style>
  <w:style w:type="paragraph" w:styleId="Heading4">
    <w:name w:val="heading 4"/>
    <w:basedOn w:val="Normal"/>
    <w:next w:val="BodyText"/>
    <w:qFormat/>
    <w:pPr>
      <w:numPr>
        <w:ilvl w:val="3"/>
        <w:numId w:val="1"/>
      </w:numPr>
      <w:spacing w:before="240" w:after="60"/>
      <w:outlineLvl w:val="3"/>
    </w:pPr>
    <w:rPr>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rPr>
  </w:style>
  <w:style w:type="paragraph" w:styleId="Heading9">
    <w:name w:val="heading 9"/>
    <w:basedOn w:val="Normal"/>
    <w:next w:val="BodyText"/>
    <w:qFormat/>
    <w:pPr>
      <w:numPr>
        <w:ilvl w:val="8"/>
        <w:numId w:val="1"/>
      </w:numPr>
      <w:spacing w:before="240" w:after="60"/>
      <w:outlineLvl w:val="8"/>
    </w:pPr>
    <w:rPr>
      <w:b/>
      <w:i/>
      <w:sz w:val="1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i w:val="false"/>
      <w:caps/>
      <w:strike w:val="false"/>
      <w:dstrike w:val="false"/>
      <w:outline w:val="false"/>
      <w:shadow w:val="false"/>
      <w:vanish w:val="false"/>
      <w:color w:val="auto"/>
      <w:position w:val="0"/>
      <w:sz w:val="24"/>
      <w:u w:val="none"/>
      <w:vertAlign w:val="baseline"/>
    </w:rPr>
  </w:style>
  <w:style w:type="character" w:styleId="WW8Num5z1">
    <w:name w:val="WW8Num5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5z2">
    <w:name w:val="WW8Num5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Arial" w:hAnsi="Arial" w:cs="Arial"/>
      <w:b w:val="false"/>
      <w:i w:val="false"/>
      <w:sz w:val="20"/>
      <w:u w:val="none"/>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b/>
      <w:i w:val="false"/>
      <w:caps/>
      <w:strike w:val="false"/>
      <w:dstrike w:val="false"/>
      <w:outline w:val="false"/>
      <w:shadow w:val="false"/>
      <w:vanish w:val="false"/>
      <w:color w:val="auto"/>
      <w:position w:val="0"/>
      <w:sz w:val="24"/>
      <w:u w:val="none"/>
      <w:vertAlign w:val="baseline"/>
    </w:rPr>
  </w:style>
  <w:style w:type="character" w:styleId="WW8Num15z1">
    <w:name w:val="WW8Num15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5z2">
    <w:name w:val="WW8Num15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i w:val="false"/>
      <w:caps/>
      <w:strike w:val="false"/>
      <w:dstrike w:val="false"/>
      <w:outline w:val="false"/>
      <w:shadow w:val="false"/>
      <w:vanish w:val="false"/>
      <w:color w:val="auto"/>
      <w:position w:val="0"/>
      <w:sz w:val="24"/>
      <w:u w:val="none"/>
      <w:vertAlign w:val="baseline"/>
    </w:rPr>
  </w:style>
  <w:style w:type="character" w:styleId="WW8Num20z1">
    <w:name w:val="WW8Num20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20z2">
    <w:name w:val="WW8Num20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Article8L1">
    <w:name w:val="Article8_L1"/>
    <w:basedOn w:val="Normal"/>
    <w:next w:val="NumContinue"/>
    <w:qFormat/>
    <w:pPr>
      <w:keepNext w:val="true"/>
      <w:numPr>
        <w:ilvl w:val="0"/>
        <w:numId w:val="12"/>
      </w:numPr>
      <w:spacing w:before="0" w:after="240"/>
      <w:jc w:val="center"/>
      <w:outlineLvl w:val="0"/>
    </w:pPr>
    <w:rPr>
      <w:lang w:val="en-US"/>
    </w:rPr>
  </w:style>
  <w:style w:type="paragraph" w:styleId="NumContinue">
    <w:name w:val="Num Continue"/>
    <w:basedOn w:val="BodyText"/>
    <w:qFormat/>
    <w:pPr/>
    <w:rPr/>
  </w:style>
  <w:style w:type="paragraph" w:styleId="TableofAuthorities">
    <w:name w:val="Table of Authorities"/>
    <w:basedOn w:val="Normal"/>
    <w:next w:val="Normal"/>
    <w:qFormat/>
    <w:pPr>
      <w:ind w:hanging="240" w:start="240" w:end="0"/>
    </w:pPr>
    <w:rPr/>
  </w:style>
  <w:style w:type="paragraph" w:styleId="TOC1">
    <w:name w:val="toc 1"/>
    <w:next w:val="Normal"/>
    <w:pPr>
      <w:widowControl/>
      <w:bidi w:val="0"/>
      <w:spacing w:before="120" w:after="120"/>
    </w:pPr>
    <w:rPr>
      <w:rFonts w:ascii="Times New Roman" w:hAnsi="Times New Roman" w:eastAsia="Times New Roman" w:cs="Times New Roman"/>
      <w:b/>
      <w:caps/>
      <w:color w:val="auto"/>
      <w:sz w:val="20"/>
      <w:szCs w:val="20"/>
      <w:lang w:val="en-CA" w:eastAsia="zh-CN" w:bidi="hi-IN"/>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ListBullet">
    <w:name w:val="List Bullet"/>
    <w:basedOn w:val="Normal"/>
    <w:qFormat/>
    <w:pPr>
      <w:numPr>
        <w:ilvl w:val="0"/>
        <w:numId w:val="2"/>
      </w:numPr>
    </w:pPr>
    <w:rPr/>
  </w:style>
  <w:style w:type="paragraph" w:styleId="DocumentMap">
    <w:name w:val="Document Map"/>
    <w:basedOn w:val="Normal"/>
    <w:qFormat/>
    <w:pPr>
      <w:shd w:fill="000080" w:val="clear"/>
    </w:pPr>
    <w:rPr>
      <w:rFonts w:ascii="Tahoma" w:hAnsi="Tahoma" w:cs="Tahoma"/>
    </w:rPr>
  </w:style>
  <w:style w:type="paragraph" w:styleId="Article1L1">
    <w:name w:val="Article1_L1"/>
    <w:basedOn w:val="Normal"/>
    <w:next w:val="NumContinue"/>
    <w:qFormat/>
    <w:pPr>
      <w:keepNext w:val="true"/>
      <w:numPr>
        <w:ilvl w:val="0"/>
        <w:numId w:val="15"/>
      </w:numPr>
      <w:spacing w:before="0" w:after="240"/>
      <w:jc w:val="center"/>
    </w:pPr>
    <w:rPr>
      <w:b/>
      <w:lang w:val="en-US"/>
    </w:rPr>
  </w:style>
  <w:style w:type="paragraph" w:styleId="Article1L2">
    <w:name w:val="Article1_L2"/>
    <w:basedOn w:val="Article1L1"/>
    <w:next w:val="NumContinue"/>
    <w:qFormat/>
    <w:pPr>
      <w:keepNext w:val="false"/>
      <w:numPr>
        <w:ilvl w:val="0"/>
        <w:numId w:val="15"/>
      </w:numPr>
      <w:tabs>
        <w:tab w:val="clear" w:pos="720"/>
        <w:tab w:val="left" w:pos="1080" w:leader="none"/>
      </w:tabs>
      <w:spacing w:lineRule="auto" w:line="360"/>
      <w:ind w:firstLine="720" w:start="0" w:end="0"/>
      <w:jc w:val="start"/>
    </w:pPr>
    <w:rPr>
      <w:b w:val="false"/>
    </w:rPr>
  </w:style>
  <w:style w:type="paragraph" w:styleId="Article1L3">
    <w:name w:val="Article1_L3"/>
    <w:basedOn w:val="Article1L2"/>
    <w:next w:val="NumContinue"/>
    <w:qFormat/>
    <w:pPr>
      <w:numPr>
        <w:ilvl w:val="0"/>
        <w:numId w:val="15"/>
      </w:numPr>
      <w:ind w:firstLine="720" w:start="0" w:end="0"/>
    </w:pPr>
    <w:rPr/>
  </w:style>
  <w:style w:type="paragraph" w:styleId="Article1L4">
    <w:name w:val="Article1_L4"/>
    <w:basedOn w:val="Article1L3"/>
    <w:next w:val="NumContinue"/>
    <w:qFormat/>
    <w:pPr>
      <w:numPr>
        <w:ilvl w:val="0"/>
        <w:numId w:val="15"/>
      </w:numPr>
      <w:tabs>
        <w:tab w:val="left" w:pos="1080" w:leader="none"/>
        <w:tab w:val="left" w:pos="2304" w:leader="none"/>
      </w:tabs>
      <w:ind w:hanging="432" w:start="2304" w:end="0"/>
    </w:pPr>
    <w:rPr/>
  </w:style>
  <w:style w:type="paragraph" w:styleId="Article1L5">
    <w:name w:val="Article1_L5"/>
    <w:basedOn w:val="Article1L4"/>
    <w:next w:val="NumContinue"/>
    <w:qFormat/>
    <w:pPr>
      <w:numPr>
        <w:ilvl w:val="0"/>
        <w:numId w:val="15"/>
      </w:numPr>
      <w:ind w:hanging="720" w:start="2304" w:end="0"/>
    </w:pPr>
    <w:rPr/>
  </w:style>
  <w:style w:type="paragraph" w:styleId="Article1L6">
    <w:name w:val="Article1_L6"/>
    <w:basedOn w:val="Article1L5"/>
    <w:next w:val="NumContinue"/>
    <w:qFormat/>
    <w:pPr>
      <w:numPr>
        <w:ilvl w:val="0"/>
        <w:numId w:val="15"/>
      </w:numPr>
      <w:tabs>
        <w:tab w:val="left" w:pos="1080" w:leader="none"/>
        <w:tab w:val="left" w:pos="2304" w:leader="none"/>
        <w:tab w:val="left" w:pos="3888" w:leader="none"/>
      </w:tabs>
      <w:ind w:hanging="432" w:start="3888" w:end="0"/>
    </w:pPr>
    <w:rPr/>
  </w:style>
  <w:style w:type="paragraph" w:styleId="Article1L7">
    <w:name w:val="Article1_L7"/>
    <w:basedOn w:val="Article1L6"/>
    <w:next w:val="NumContinue"/>
    <w:qFormat/>
    <w:pPr>
      <w:numPr>
        <w:ilvl w:val="0"/>
        <w:numId w:val="15"/>
      </w:numPr>
      <w:tabs>
        <w:tab w:val="left" w:pos="1080" w:leader="none"/>
        <w:tab w:val="left" w:pos="2304" w:leader="none"/>
        <w:tab w:val="left" w:pos="2520" w:leader="none"/>
        <w:tab w:val="left" w:pos="3888" w:leader="none"/>
      </w:tabs>
      <w:ind w:hanging="360" w:start="2520" w:end="0"/>
    </w:pPr>
    <w:rPr/>
  </w:style>
  <w:style w:type="paragraph" w:styleId="Article8L2">
    <w:name w:val="Article8_L2"/>
    <w:basedOn w:val="Article8L1"/>
    <w:next w:val="NumContinue"/>
    <w:qFormat/>
    <w:pPr>
      <w:keepNext w:val="false"/>
      <w:numPr>
        <w:ilvl w:val="0"/>
        <w:numId w:val="12"/>
      </w:numPr>
      <w:jc w:val="both"/>
      <w:outlineLvl w:val="1"/>
    </w:pPr>
    <w:rPr/>
  </w:style>
  <w:style w:type="paragraph" w:styleId="Article8L3">
    <w:name w:val="Article8_L3"/>
    <w:basedOn w:val="Article8L2"/>
    <w:next w:val="NumContinue"/>
    <w:qFormat/>
    <w:pPr>
      <w:keepNext w:val="false"/>
      <w:numPr>
        <w:ilvl w:val="0"/>
        <w:numId w:val="12"/>
      </w:numPr>
      <w:outlineLvl w:val="2"/>
    </w:pPr>
    <w:rPr/>
  </w:style>
  <w:style w:type="paragraph" w:styleId="Article8L4">
    <w:name w:val="Article8_L4"/>
    <w:basedOn w:val="Article8L3"/>
    <w:next w:val="NumContinue"/>
    <w:qFormat/>
    <w:pPr>
      <w:numPr>
        <w:ilvl w:val="0"/>
        <w:numId w:val="12"/>
      </w:numPr>
      <w:outlineLvl w:val="3"/>
    </w:pPr>
    <w:rPr/>
  </w:style>
  <w:style w:type="paragraph" w:styleId="Article8L5">
    <w:name w:val="Article8_L5"/>
    <w:basedOn w:val="Article8L4"/>
    <w:next w:val="NumContinue"/>
    <w:qFormat/>
    <w:pPr>
      <w:numPr>
        <w:ilvl w:val="0"/>
        <w:numId w:val="12"/>
      </w:numPr>
      <w:outlineLvl w:val="4"/>
    </w:pPr>
    <w:rPr/>
  </w:style>
  <w:style w:type="paragraph" w:styleId="Article8L6">
    <w:name w:val="Article8_L6"/>
    <w:basedOn w:val="Article8L5"/>
    <w:next w:val="NumContinue"/>
    <w:qFormat/>
    <w:pPr>
      <w:numPr>
        <w:ilvl w:val="0"/>
        <w:numId w:val="12"/>
      </w:numPr>
      <w:outlineLvl w:val="5"/>
    </w:pPr>
    <w:rPr/>
  </w:style>
  <w:style w:type="paragraph" w:styleId="Justified">
    <w:name w:val="Justified"/>
    <w:basedOn w:val="Normal"/>
    <w:next w:val="Heading2"/>
    <w:qFormat/>
    <w:pPr>
      <w:spacing w:before="0" w:after="120"/>
      <w:jc w:val="both"/>
    </w:pPr>
    <w:rPr>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2000-04-11T13:26:00Z</dcterms:created>
  <dc:creator>amr</dc:creator>
  <dc:description>
10820485.8</dc:description>
  <dc:language>en-CA</dc:language>
  <cp:lastModifiedBy>ncappel</cp:lastModifiedBy>
  <cp:lastPrinted>2000-05-11T15:40:00Z</cp:lastPrinted>
  <dcterms:modified xsi:type="dcterms:W3CDTF">2000-05-11T19:15:00Z</dcterms:modified>
  <cp:revision>21</cp:revision>
  <dc:subject/>
  <dc:title>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30289951.1</vt:lpwstr>
  </property>
</Properties>
</file>