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0000"/>
        </w:rPr>
      </w:pPr>
      <w:r>
        <w:rPr>
          <w:color w:val="000000"/>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color w:val="000000"/>
        </w:rPr>
      </w:pPr>
      <w:r>
        <w:rPr>
          <w:color w:val="000000"/>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color w:val="000000"/>
                <w:sz w:val="16"/>
              </w:rPr>
            </w:pPr>
            <w:r>
              <w:rPr>
                <w:color w:val="000000"/>
                <w:sz w:val="16"/>
              </w:rPr>
              <w:t>To:</w:t>
            </w:r>
          </w:p>
        </w:tc>
        <w:tc>
          <w:tcPr>
            <w:tcW w:w="6045" w:type="dxa"/>
            <w:tcBorders/>
          </w:tcPr>
          <w:p>
            <w:pPr>
              <w:pStyle w:val="To"/>
              <w:rPr>
                <w:color w:val="000000"/>
              </w:rPr>
            </w:pPr>
            <w:r>
              <w:rPr>
                <w:color w:val="000000"/>
              </w:rPr>
              <w:t>Distribution</w:t>
            </w:r>
          </w:p>
        </w:tc>
        <w:tc>
          <w:tcPr>
            <w:tcW w:w="990" w:type="dxa"/>
            <w:tcBorders/>
          </w:tcPr>
          <w:p>
            <w:pPr>
              <w:pStyle w:val="Normal"/>
              <w:snapToGrid w:val="false"/>
              <w:ind w:start="-180" w:end="0"/>
              <w:rPr>
                <w:color w:val="000000"/>
              </w:rPr>
            </w:pPr>
            <w:r>
              <w:rPr>
                <w:color w:val="000000"/>
              </w:rPr>
            </w:r>
          </w:p>
        </w:tc>
        <w:tc>
          <w:tcPr>
            <w:tcW w:w="2965" w:type="dxa"/>
            <w:tcBorders/>
          </w:tcPr>
          <w:p>
            <w:pPr>
              <w:pStyle w:val="Normal"/>
              <w:snapToGrid w:val="false"/>
              <w:rPr>
                <w:color w:val="000000"/>
              </w:rPr>
            </w:pPr>
            <w:r>
              <w:rPr>
                <w:color w:val="000000"/>
              </w:rPr>
            </w:r>
          </w:p>
        </w:tc>
      </w:tr>
      <w:tr>
        <w:trPr>
          <w:trHeight w:val="216" w:hRule="exact"/>
        </w:trPr>
        <w:tc>
          <w:tcPr>
            <w:tcW w:w="708" w:type="dxa"/>
            <w:tcBorders/>
          </w:tcPr>
          <w:p>
            <w:pPr>
              <w:pStyle w:val="Normal"/>
              <w:snapToGrid w:val="false"/>
              <w:ind w:start="-180" w:end="0"/>
              <w:jc w:val="end"/>
              <w:rPr>
                <w:color w:val="000000"/>
                <w:sz w:val="18"/>
              </w:rPr>
            </w:pPr>
            <w:r>
              <w:rPr>
                <w:color w:val="000000"/>
                <w:sz w:val="18"/>
              </w:rPr>
            </w:r>
          </w:p>
        </w:tc>
        <w:tc>
          <w:tcPr>
            <w:tcW w:w="6045" w:type="dxa"/>
            <w:tcBorders/>
          </w:tcPr>
          <w:p>
            <w:pPr>
              <w:pStyle w:val="Normal"/>
              <w:snapToGrid w:val="false"/>
              <w:rPr>
                <w:color w:val="000000"/>
                <w:sz w:val="18"/>
              </w:rPr>
            </w:pPr>
            <w:r>
              <w:rPr>
                <w:color w:val="000000"/>
                <w:sz w:val="18"/>
              </w:rPr>
            </w:r>
          </w:p>
        </w:tc>
        <w:tc>
          <w:tcPr>
            <w:tcW w:w="990" w:type="dxa"/>
            <w:tcBorders/>
          </w:tcPr>
          <w:p>
            <w:pPr>
              <w:pStyle w:val="Normal"/>
              <w:snapToGrid w:val="false"/>
              <w:ind w:start="-180" w:end="0"/>
              <w:rPr>
                <w:color w:val="000000"/>
                <w:sz w:val="18"/>
              </w:rPr>
            </w:pPr>
            <w:r>
              <w:rPr>
                <w:color w:val="000000"/>
                <w:sz w:val="18"/>
              </w:rPr>
            </w:r>
          </w:p>
        </w:tc>
        <w:tc>
          <w:tcPr>
            <w:tcW w:w="2965" w:type="dxa"/>
            <w:tcBorders/>
          </w:tcPr>
          <w:p>
            <w:pPr>
              <w:pStyle w:val="Normal"/>
              <w:snapToGrid w:val="false"/>
              <w:rPr>
                <w:color w:val="000000"/>
                <w:sz w:val="18"/>
              </w:rPr>
            </w:pPr>
            <w:r>
              <w:rPr>
                <w:color w:val="000000"/>
                <w:sz w:val="18"/>
              </w:rPr>
            </w:r>
          </w:p>
        </w:tc>
      </w:tr>
      <w:tr>
        <w:trPr>
          <w:trHeight w:val="300" w:hRule="exact"/>
        </w:trPr>
        <w:tc>
          <w:tcPr>
            <w:tcW w:w="708" w:type="dxa"/>
            <w:tcBorders/>
          </w:tcPr>
          <w:p>
            <w:pPr>
              <w:pStyle w:val="Normal"/>
              <w:ind w:start="-180" w:end="0"/>
              <w:jc w:val="end"/>
              <w:rPr>
                <w:color w:val="000000"/>
                <w:sz w:val="16"/>
              </w:rPr>
            </w:pPr>
            <w:r>
              <w:rPr>
                <w:color w:val="000000"/>
                <w:sz w:val="16"/>
              </w:rPr>
              <w:t>From:</w:t>
            </w:r>
          </w:p>
        </w:tc>
        <w:tc>
          <w:tcPr>
            <w:tcW w:w="6045" w:type="dxa"/>
            <w:tcBorders/>
          </w:tcPr>
          <w:p>
            <w:pPr>
              <w:pStyle w:val="From"/>
              <w:rPr>
                <w:color w:val="000000"/>
              </w:rPr>
            </w:pPr>
            <w:r>
              <w:rPr>
                <w:color w:val="000000"/>
              </w:rPr>
              <w:t>Beth Tilney</w:t>
            </w:r>
          </w:p>
        </w:tc>
        <w:tc>
          <w:tcPr>
            <w:tcW w:w="990" w:type="dxa"/>
            <w:tcBorders/>
          </w:tcPr>
          <w:p>
            <w:pPr>
              <w:pStyle w:val="Normal"/>
              <w:ind w:start="-180" w:end="0"/>
              <w:jc w:val="end"/>
              <w:rPr>
                <w:color w:val="000000"/>
                <w:sz w:val="16"/>
              </w:rPr>
            </w:pPr>
            <w:r>
              <w:rPr>
                <w:color w:val="000000"/>
                <w:sz w:val="16"/>
              </w:rPr>
              <w:t>Department:</w:t>
            </w:r>
          </w:p>
        </w:tc>
        <w:tc>
          <w:tcPr>
            <w:tcW w:w="2965" w:type="dxa"/>
            <w:tcBorders/>
          </w:tcPr>
          <w:p>
            <w:pPr>
              <w:pStyle w:val="Department"/>
              <w:rPr>
                <w:color w:val="000000"/>
              </w:rPr>
            </w:pPr>
            <w:bookmarkStart w:id="0" w:name="From"/>
            <w:bookmarkEnd w:id="0"/>
            <w:r>
              <w:rPr>
                <w:color w:val="000000"/>
              </w:rPr>
              <w:t>Marketing Communications</w:t>
            </w:r>
          </w:p>
        </w:tc>
      </w:tr>
      <w:tr>
        <w:trPr>
          <w:trHeight w:val="216" w:hRule="exact"/>
        </w:trPr>
        <w:tc>
          <w:tcPr>
            <w:tcW w:w="708" w:type="dxa"/>
            <w:tcBorders/>
          </w:tcPr>
          <w:p>
            <w:pPr>
              <w:pStyle w:val="Normal"/>
              <w:snapToGrid w:val="false"/>
              <w:ind w:start="-180" w:end="0"/>
              <w:jc w:val="end"/>
              <w:rPr>
                <w:color w:val="000000"/>
                <w:sz w:val="18"/>
              </w:rPr>
            </w:pPr>
            <w:r>
              <w:rPr>
                <w:color w:val="000000"/>
                <w:sz w:val="18"/>
              </w:rPr>
            </w:r>
          </w:p>
        </w:tc>
        <w:tc>
          <w:tcPr>
            <w:tcW w:w="6045" w:type="dxa"/>
            <w:tcBorders/>
          </w:tcPr>
          <w:p>
            <w:pPr>
              <w:pStyle w:val="Normal"/>
              <w:snapToGrid w:val="false"/>
              <w:rPr>
                <w:color w:val="000000"/>
                <w:sz w:val="18"/>
              </w:rPr>
            </w:pPr>
            <w:r>
              <w:rPr>
                <w:color w:val="000000"/>
                <w:sz w:val="18"/>
              </w:rPr>
            </w:r>
          </w:p>
        </w:tc>
        <w:tc>
          <w:tcPr>
            <w:tcW w:w="990" w:type="dxa"/>
            <w:tcBorders/>
          </w:tcPr>
          <w:p>
            <w:pPr>
              <w:pStyle w:val="Normal"/>
              <w:snapToGrid w:val="false"/>
              <w:ind w:start="-180" w:end="0"/>
              <w:rPr>
                <w:color w:val="000000"/>
                <w:sz w:val="18"/>
              </w:rPr>
            </w:pPr>
            <w:r>
              <w:rPr>
                <w:color w:val="000000"/>
                <w:sz w:val="18"/>
              </w:rPr>
            </w:r>
          </w:p>
        </w:tc>
        <w:tc>
          <w:tcPr>
            <w:tcW w:w="2965" w:type="dxa"/>
            <w:tcBorders/>
          </w:tcPr>
          <w:p>
            <w:pPr>
              <w:pStyle w:val="Normal"/>
              <w:snapToGrid w:val="false"/>
              <w:rPr>
                <w:color w:val="000000"/>
                <w:sz w:val="18"/>
              </w:rPr>
            </w:pPr>
            <w:r>
              <w:rPr>
                <w:color w:val="000000"/>
                <w:sz w:val="18"/>
              </w:rPr>
            </w:r>
          </w:p>
        </w:tc>
      </w:tr>
      <w:tr>
        <w:trPr>
          <w:trHeight w:val="600" w:hRule="exact"/>
        </w:trPr>
        <w:tc>
          <w:tcPr>
            <w:tcW w:w="708" w:type="dxa"/>
            <w:tcBorders>
              <w:bottom w:val="single" w:sz="12" w:space="0" w:color="000000"/>
            </w:tcBorders>
          </w:tcPr>
          <w:p>
            <w:pPr>
              <w:pStyle w:val="Normal"/>
              <w:ind w:start="-180" w:end="0"/>
              <w:jc w:val="end"/>
              <w:rPr>
                <w:color w:val="000000"/>
                <w:sz w:val="16"/>
              </w:rPr>
            </w:pPr>
            <w:r>
              <w:rPr>
                <w:color w:val="000000"/>
                <w:sz w:val="16"/>
              </w:rPr>
              <w:t>Subject:</w:t>
            </w:r>
          </w:p>
        </w:tc>
        <w:tc>
          <w:tcPr>
            <w:tcW w:w="6045" w:type="dxa"/>
            <w:tcBorders>
              <w:bottom w:val="single" w:sz="12" w:space="0" w:color="000000"/>
            </w:tcBorders>
          </w:tcPr>
          <w:p>
            <w:pPr>
              <w:pStyle w:val="Subject"/>
              <w:rPr>
                <w:color w:val="000000"/>
              </w:rPr>
            </w:pPr>
            <w:r>
              <w:rPr>
                <w:color w:val="000000"/>
              </w:rPr>
              <w:t>Power of Communication Program</w:t>
            </w:r>
          </w:p>
        </w:tc>
        <w:tc>
          <w:tcPr>
            <w:tcW w:w="990" w:type="dxa"/>
            <w:tcBorders>
              <w:bottom w:val="single" w:sz="12" w:space="0" w:color="000000"/>
            </w:tcBorders>
          </w:tcPr>
          <w:p>
            <w:pPr>
              <w:pStyle w:val="Normal"/>
              <w:ind w:start="-180" w:end="0"/>
              <w:jc w:val="end"/>
              <w:rPr>
                <w:color w:val="000000"/>
                <w:sz w:val="16"/>
              </w:rPr>
            </w:pPr>
            <w:r>
              <w:rPr>
                <w:color w:val="000000"/>
                <w:sz w:val="16"/>
              </w:rPr>
              <w:t>Date:</w:t>
            </w:r>
          </w:p>
        </w:tc>
        <w:tc>
          <w:tcPr>
            <w:tcW w:w="2965" w:type="dxa"/>
            <w:tcBorders>
              <w:bottom w:val="single" w:sz="12" w:space="0" w:color="000000"/>
            </w:tcBorders>
          </w:tcPr>
          <w:p>
            <w:pPr>
              <w:pStyle w:val="Date"/>
              <w:rPr>
                <w:color w:val="000000"/>
              </w:rPr>
            </w:pPr>
            <w:r>
              <w:rPr>
                <w:color w:val="000000"/>
              </w:rPr>
              <w:fldChar w:fldCharType="begin"/>
            </w:r>
            <w:r>
              <w:rPr>
                <w:color w:val="000000"/>
              </w:rPr>
              <w:instrText xml:space="preserve"> DATE \@"MMMM\ d', 'yyyy" </w:instrText>
            </w:r>
            <w:r>
              <w:rPr>
                <w:color w:val="000000"/>
              </w:rPr>
              <w:fldChar w:fldCharType="separate"/>
            </w:r>
            <w:r>
              <w:rPr>
                <w:color w:val="000000"/>
              </w:rPr>
              <w:t>September 28, 2025</w:t>
            </w:r>
            <w:r>
              <w:rPr>
                <w:color w:val="000000"/>
              </w:rPr>
              <w:fldChar w:fldCharType="end"/>
            </w:r>
          </w:p>
        </w:tc>
      </w:tr>
    </w:tbl>
    <w:p>
      <w:pPr>
        <w:pStyle w:val="Body"/>
        <w:rPr>
          <w:color w:val="000000"/>
        </w:rPr>
      </w:pPr>
      <w:r>
        <w:rPr>
          <w:color w:val="000000"/>
        </w:rPr>
      </w:r>
      <w:bookmarkStart w:id="1" w:name="StartOfMemo"/>
      <w:bookmarkStart w:id="2" w:name="StartOfMemo"/>
      <w:bookmarkEnd w:id="2"/>
    </w:p>
    <w:p>
      <w:pPr>
        <w:pStyle w:val="BodyText"/>
        <w:jc w:val="both"/>
        <w:rPr/>
      </w:pPr>
      <w:r>
        <w:rPr>
          <w:color w:val="000000"/>
        </w:rPr>
        <w:t xml:space="preserve">I will be participating in Enron’s Power of Communication Program on </w:t>
      </w:r>
      <w:r>
        <w:rPr>
          <w:color w:val="000000"/>
          <w:lang w:val="en-CA"/>
        </w:rPr>
        <w:t>September 18</w:t>
      </w:r>
      <w:r>
        <w:rPr>
          <w:color w:val="000000"/>
        </w:rPr>
        <w:t>.  Prior to attending the program, each participant is asked to gather input on individual management styles and practices from his/her immediate manager, each direct report, and up to eight peers/colleagues.</w:t>
      </w:r>
    </w:p>
    <w:p>
      <w:pPr>
        <w:pStyle w:val="Normal"/>
        <w:jc w:val="both"/>
        <w:rPr>
          <w:color w:val="000000"/>
        </w:rPr>
      </w:pPr>
      <w:r>
        <w:rPr>
          <w:color w:val="000000"/>
        </w:rPr>
      </w:r>
    </w:p>
    <w:p>
      <w:pPr>
        <w:pStyle w:val="BodyTextIndent"/>
        <w:rPr>
          <w:color w:val="000000"/>
        </w:rPr>
      </w:pPr>
      <w:r>
        <w:rPr>
          <w:color w:val="000000"/>
        </w:rPr>
        <w:t>I value your input and have asked Keilty, Goldsmith &amp; Company/FSD Data Services to email you an Internet link and password so that you may go online to provide feedback about my management practices.  Your answers will be kept confidential, so please be candid and honest.  Based on your input – combined with the input of others – I will develop an action plan to improve.</w:t>
      </w:r>
    </w:p>
    <w:p>
      <w:pPr>
        <w:pStyle w:val="Normal"/>
        <w:jc w:val="both"/>
        <w:rPr>
          <w:color w:val="000000"/>
        </w:rPr>
      </w:pPr>
      <w:r>
        <w:rPr>
          <w:color w:val="000000"/>
        </w:rPr>
      </w:r>
    </w:p>
    <w:p>
      <w:pPr>
        <w:pStyle w:val="Normal"/>
        <w:jc w:val="both"/>
        <w:rPr>
          <w:color w:val="000000"/>
        </w:rPr>
      </w:pPr>
      <w:r>
        <w:rPr>
          <w:color w:val="000000"/>
        </w:rPr>
        <w:t>The email will be sent to you no later than Tuesday morning, September 5.  When you receive your email, it is important that you adhere to the deadline date indicated.  If you do not receive the email by Tuesday afternoon, please notify Deborah Evans at 713-942-8436 or debe@fsddatasvc.com.</w:t>
      </w:r>
    </w:p>
    <w:p>
      <w:pPr>
        <w:pStyle w:val="Normal"/>
        <w:jc w:val="both"/>
        <w:rPr>
          <w:color w:val="000000"/>
        </w:rPr>
      </w:pPr>
      <w:r>
        <w:rPr>
          <w:color w:val="000000"/>
        </w:rPr>
      </w:r>
    </w:p>
    <w:p>
      <w:pPr>
        <w:pStyle w:val="Normal"/>
        <w:jc w:val="both"/>
        <w:rPr>
          <w:color w:val="000000"/>
        </w:rPr>
      </w:pPr>
      <w:r>
        <w:rPr>
          <w:color w:val="000000"/>
        </w:rPr>
        <w:t>If you have any questions about the program, what feedback is expected, or how the feedback will be used, please contact Debbie Nowak (713-853-3304) or Dick Amabile (713-853-3972) at Enron Corp.</w:t>
      </w:r>
    </w:p>
    <w:p>
      <w:pPr>
        <w:pStyle w:val="Normal"/>
        <w:jc w:val="both"/>
        <w:rPr>
          <w:color w:val="000000"/>
        </w:rPr>
      </w:pPr>
      <w:r>
        <w:rPr>
          <w:color w:val="000000"/>
        </w:rPr>
      </w:r>
    </w:p>
    <w:p>
      <w:pPr>
        <w:pStyle w:val="Body"/>
        <w:rPr>
          <w:color w:val="000000"/>
        </w:rPr>
      </w:pPr>
      <w:r>
        <w:rPr>
          <w:color w:val="000000"/>
          <w:sz w:val="24"/>
        </w:rPr>
        <w:t>I appreciate your input.</w:t>
      </w:r>
    </w:p>
    <w:p>
      <w:pPr>
        <w:pStyle w:val="CopyList"/>
        <w:spacing w:before="0" w:after="0"/>
        <w:rPr>
          <w:color w:val="000000"/>
        </w:rPr>
      </w:pPr>
      <w:r>
        <w:rPr>
          <w:color w:val="000000"/>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280035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2.0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EESmemo</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2000-08-30T20:07:00Z</dcterms:created>
  <dc:creator>EES User</dc:creator>
  <dc:description/>
  <dc:language>en-CA</dc:language>
  <cp:lastModifiedBy>kkirksey</cp:lastModifiedBy>
  <cp:lastPrinted>1997-01-29T16:33:00Z</cp:lastPrinted>
  <dcterms:modified xsi:type="dcterms:W3CDTF">2000-08-30T20:17:00Z</dcterms:modified>
  <cp:revision>1</cp:revision>
  <dc:subject/>
  <dc:title>Eron Capital &amp; Trade Resources Memo</dc:title>
</cp:coreProperties>
</file>