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t>Phone  (713) 853-3300</w:t>
            </w:r>
          </w:p>
          <w:p>
            <w:pPr>
              <w:pStyle w:val="Normal"/>
              <w:tabs>
                <w:tab w:val="clear" w:pos="720"/>
                <w:tab w:val="left" w:pos="2412" w:leader="none"/>
              </w:tabs>
              <w:ind w:start="1962" w:end="0"/>
              <w:rPr>
                <w:i/>
                <w:i/>
                <w:sz w:val="22"/>
              </w:rPr>
            </w:pPr>
            <w:r>
              <w:rPr>
                <w:i/>
                <w:sz w:val="22"/>
              </w:rPr>
              <w:t>Fax (713) 646-4816</w:t>
            </w:r>
          </w:p>
        </w:tc>
      </w:tr>
      <w:tr>
        <w:trPr/>
        <w:tc>
          <w:tcPr>
            <w:tcW w:w="4698" w:type="dxa"/>
            <w:tcBorders/>
          </w:tcPr>
          <w:p>
            <w:pPr>
              <w:pStyle w:val="Normal"/>
              <w:snapToGrid w:val="false"/>
              <w:rPr>
                <w:i/>
                <w:i/>
                <w:sz w:val="22"/>
              </w:rPr>
            </w:pPr>
            <w:r>
              <w:rPr>
                <w:i/>
                <w:sz w:val="22"/>
              </w:rPr>
            </w:r>
          </w:p>
        </w:tc>
        <w:tc>
          <w:tcPr>
            <w:tcW w:w="4878" w:type="dxa"/>
            <w:tcBorders/>
          </w:tcPr>
          <w:p>
            <w:pPr>
              <w:pStyle w:val="Normal"/>
              <w:tabs>
                <w:tab w:val="clear" w:pos="720"/>
                <w:tab w:val="left" w:pos="2412" w:leader="none"/>
              </w:tabs>
              <w:snapToGrid w:val="false"/>
              <w:ind w:start="1962" w:end="0"/>
              <w:rPr>
                <w:b/>
                <w:sz w:val="22"/>
              </w:rPr>
            </w:pPr>
            <w:r>
              <w:rPr>
                <w:b/>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b/>
          <w:sz w:val="22"/>
        </w:rPr>
      </w:pPr>
      <w:r>
        <w:rPr>
          <w:b/>
          <w:sz w:val="22"/>
        </w:rPr>
        <w:t>(SWAP)</w:t>
      </w:r>
    </w:p>
    <w:p>
      <w:pPr>
        <w:pStyle w:val="Normal"/>
        <w:tabs>
          <w:tab w:val="clear" w:pos="720"/>
          <w:tab w:val="left" w:pos="3870" w:leader="none"/>
        </w:tabs>
        <w:jc w:val="center"/>
        <w:rPr>
          <w:b/>
          <w:sz w:val="22"/>
        </w:rPr>
      </w:pPr>
      <w:r>
        <w:rPr>
          <w:b/>
          <w:sz w:val="22"/>
        </w:rPr>
      </w:r>
    </w:p>
    <w:p>
      <w:pPr>
        <w:pStyle w:val="Normal"/>
        <w:tabs>
          <w:tab w:val="clear" w:pos="720"/>
          <w:tab w:val="left" w:pos="3870" w:leader="none"/>
        </w:tabs>
        <w:rPr>
          <w:b/>
          <w:sz w:val="22"/>
        </w:rPr>
      </w:pPr>
      <w:r>
        <w:rPr>
          <w:b/>
          <w:sz w:val="22"/>
        </w:rPr>
      </w:r>
    </w:p>
    <w:p>
      <w:pPr>
        <w:pStyle w:val="Normal"/>
        <w:rPr>
          <w:sz w:val="22"/>
        </w:rPr>
      </w:pPr>
      <w:r>
        <w:rPr>
          <w:sz w:val="22"/>
        </w:rPr>
        <w:t>Date:</w:t>
        <w:tab/>
        <w:tab/>
        <w:t>[Trade Date]</w:t>
      </w:r>
    </w:p>
    <w:p>
      <w:pPr>
        <w:pStyle w:val="Normal"/>
        <w:rPr>
          <w:sz w:val="22"/>
        </w:rPr>
      </w:pPr>
      <w:r>
        <w:rPr>
          <w:sz w:val="22"/>
        </w:rPr>
        <w:t>To:</w:t>
        <w:tab/>
        <w:tab/>
        <w:t>Delano Energy Company, Inc. ("Counterparty")</w:t>
      </w:r>
    </w:p>
    <w:p>
      <w:pPr>
        <w:pStyle w:val="Normal"/>
        <w:rPr>
          <w:sz w:val="22"/>
        </w:rPr>
      </w:pPr>
      <w:r>
        <w:rPr>
          <w:sz w:val="22"/>
        </w:rPr>
        <w:t>Attention:</w:t>
        <w:tab/>
        <w:t>[                     ]</w:t>
      </w:r>
    </w:p>
    <w:p>
      <w:pPr>
        <w:pStyle w:val="Normal"/>
        <w:rPr>
          <w:sz w:val="22"/>
        </w:rPr>
      </w:pPr>
      <w:r>
        <w:rPr>
          <w:sz w:val="22"/>
        </w:rPr>
        <w:t>Fax No.:</w:t>
        <w:tab/>
        <w:t>[                     ]</w:t>
      </w:r>
    </w:p>
    <w:p>
      <w:pPr>
        <w:pStyle w:val="Normal"/>
        <w:rPr/>
      </w:pPr>
      <w:r>
        <w:rPr>
          <w:sz w:val="22"/>
        </w:rPr>
        <w:t>From:</w:t>
        <w:tab/>
        <w:tab/>
      </w:r>
      <w:r>
        <w:rPr>
          <w:color w:val="000000"/>
          <w:sz w:val="22"/>
        </w:rPr>
        <w:t>Enron North America Corp. (“ENA”)</w:t>
      </w:r>
    </w:p>
    <w:p>
      <w:pPr>
        <w:pStyle w:val="Normal"/>
        <w:rPr>
          <w:sz w:val="22"/>
        </w:rPr>
      </w:pPr>
      <w:r>
        <w:rPr>
          <w:sz w:val="22"/>
        </w:rPr>
        <w:t>Re:</w:t>
        <w:tab/>
        <w:tab/>
        <w:t>Commodity Swap – ECT Deal No. XXXXX</w:t>
      </w:r>
    </w:p>
    <w:p>
      <w:pPr>
        <w:pStyle w:val="Normal"/>
        <w:rPr>
          <w:sz w:val="22"/>
        </w:rPr>
      </w:pPr>
      <w:r>
        <w:rPr>
          <w:sz w:val="22"/>
        </w:rPr>
      </w:r>
    </w:p>
    <w:p>
      <w:pPr>
        <w:pStyle w:val="Normal"/>
        <w:jc w:val="both"/>
        <w:rPr/>
      </w:pPr>
      <w:r>
        <w:rPr>
          <w:sz w:val="22"/>
        </w:rPr>
        <w:tab/>
        <w:t xml:space="preserve">The purpose of this letter is to confirm the terms and conditions of the Transaction entered into between us on the Trade Date specified below (the "Transaction").  This letter constitutes a "Confirmation" as referred to in </w:t>
      </w:r>
      <w:r>
        <w:rPr>
          <w:color w:val="000000"/>
          <w:sz w:val="22"/>
        </w:rPr>
        <w:t>the ISDA Master Agreement</w:t>
      </w:r>
      <w:r>
        <w:rPr>
          <w:sz w:val="22"/>
        </w:rPr>
        <w:t xml:space="preserve">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                 ],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p>
            <w:pPr>
              <w:pStyle w:val="Normal"/>
              <w:rPr>
                <w:sz w:val="22"/>
              </w:rPr>
            </w:pPr>
            <w:r>
              <w:rPr>
                <w:sz w:val="22"/>
              </w:rPr>
            </w:r>
          </w:p>
        </w:tc>
        <w:tc>
          <w:tcPr>
            <w:tcW w:w="6102" w:type="dxa"/>
            <w:tcBorders/>
          </w:tcPr>
          <w:p>
            <w:pPr>
              <w:pStyle w:val="Normal"/>
              <w:snapToGrid w:val="false"/>
              <w:rPr>
                <w:sz w:val="22"/>
              </w:rPr>
            </w:pPr>
            <w:r>
              <w:rPr>
                <w:sz w:val="22"/>
              </w:rPr>
            </w:r>
          </w:p>
          <w:p>
            <w:pPr>
              <w:pStyle w:val="Normal"/>
              <w:rPr>
                <w:sz w:val="22"/>
              </w:rPr>
            </w:pPr>
            <w:r>
              <w:rPr>
                <w:sz w:val="22"/>
              </w:rPr>
              <w:t>[    ] MWh for each On-Peak Hour during the Calculation Period for a total of [         ]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Megawatt hours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[To be determined]</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jc w:val="both"/>
              <w:rPr>
                <w:sz w:val="22"/>
              </w:rPr>
            </w:pPr>
            <w:r>
              <w:rPr>
                <w:sz w:val="22"/>
              </w:rPr>
              <w:t>[                             ]</w:t>
            </w:r>
          </w:p>
        </w:tc>
      </w:tr>
      <w:tr>
        <w:trPr/>
        <w:tc>
          <w:tcPr>
            <w:tcW w:w="4338" w:type="dxa"/>
            <w:tcBorders/>
          </w:tcPr>
          <w:p>
            <w:pPr>
              <w:pStyle w:val="Normal"/>
              <w:snapToGrid w:val="false"/>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rPr>
              <w:t>Each calendar month beginning with [</w:t>
            </w:r>
            <w:r>
              <w:rPr>
                <w:i/>
                <w:sz w:val="22"/>
              </w:rPr>
              <w:t>Effective Date</w:t>
            </w:r>
            <w:r>
              <w:rPr>
                <w:sz w:val="22"/>
              </w:rPr>
              <w:t>] and ending on [</w:t>
            </w:r>
            <w:r>
              <w:rPr>
                <w:i/>
                <w:sz w:val="22"/>
              </w:rPr>
              <w:t>Termination Date</w:t>
            </w:r>
            <w:r>
              <w:rPr>
                <w:sz w:val="22"/>
              </w:rPr>
              <w:t>]</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date on which the Floating Price is determinable for each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ENA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USD [        ] per MWh</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t>Counterparty</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bl>
    <w:p>
      <w:pPr>
        <w:pStyle w:val="Normal"/>
        <w:rPr/>
      </w:pP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pPr>
            <w:r>
              <w:rPr>
                <w:sz w:val="22"/>
              </w:rPr>
              <w:t xml:space="preserve">For each Calculation Period, the average of the prices for each On-Peak Hour as published by the California Power Exchange (the “CalPX”) on the CalPX’s official website currently located at </w:t>
            </w:r>
            <w:hyperlink r:id="rId3">
              <w:r>
                <w:rPr>
                  <w:rStyle w:val="Hyperlink"/>
                  <w:sz w:val="22"/>
                </w:rPr>
                <w:t>http://www.calpx.com/prices/index_prices_dayahead_trading.html</w:t>
              </w:r>
            </w:hyperlink>
            <w:r>
              <w:rPr>
                <w:sz w:val="22"/>
              </w:rPr>
              <w:t>, or any successor thereto, under the headings “Hourly Zonal Prices Constrained Report: California Power Exchange Day Ahead Zonal Prices (Constrained): SP 15” for each day during such Calculation Period</w:t>
            </w:r>
            <w:r>
              <w:rPr>
                <w:color w:val="000000"/>
                <w:sz w:val="22"/>
              </w:rPr>
              <w:t>.</w:t>
            </w:r>
          </w:p>
          <w:p>
            <w:pPr>
              <w:pStyle w:val="BodyText"/>
              <w:rPr>
                <w:color w:val="000000"/>
                <w:sz w:val="22"/>
              </w:rPr>
            </w:pPr>
            <w:r>
              <w:rPr>
                <w:color w:val="000000"/>
                <w:sz w:val="22"/>
                <w:rPrChange w:id="0" w:author="Unknown Author" w:date="1999-07-23T15:46:00Z"/>
              </w:rPr>
              <w:rPrChange w:id="0" w:author="Unknown Author" w:date="1999-07-23T15:46:00Z"/>
            </w:r>
          </w:p>
          <w:p>
            <w:pPr>
              <w:pStyle w:val="Normal"/>
              <w:jc w:val="both"/>
              <w:rPr>
                <w:sz w:val="22"/>
              </w:rPr>
            </w:pPr>
            <w:r>
              <w:rPr>
                <w:sz w:val="22"/>
              </w:rPr>
              <w:t>“</w:t>
            </w:r>
            <w:r>
              <w:rPr>
                <w:sz w:val="22"/>
              </w:rPr>
              <w:t>On Peak Hour” means each hour commencing HE 0700 through HE 2200 PPT, Monday through Saturday (excluding holidays of the North American Electric Reliability Council).</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jc w:val="both"/>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rPr>
            </w:pPr>
            <w:r>
              <w:rPr>
                <w:sz w:val="22"/>
              </w:rPr>
              <w:t>Enron North America Corp. is pleased to have entered into this Transaction with you.</w:t>
            </w:r>
          </w:p>
        </w:tc>
      </w:tr>
      <w:tr>
        <w:trPr/>
        <w:tc>
          <w:tcPr>
            <w:tcW w:w="10440" w:type="dxa"/>
            <w:tcBorders/>
          </w:tcPr>
          <w:p>
            <w:pPr>
              <w:pStyle w:val="Normal"/>
              <w:snapToGrid w:val="false"/>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color w:val="000000"/>
                <w:sz w:val="22"/>
              </w:rPr>
            </w:pPr>
            <w:r>
              <w:rPr>
                <w:color w:val="000000"/>
                <w:sz w:val="22"/>
              </w:rPr>
              <w:t>Enron North America Corp.</w:t>
            </w:r>
          </w:p>
          <w:p>
            <w:pPr>
              <w:pStyle w:val="Normal"/>
              <w:rPr>
                <w:sz w:val="22"/>
              </w:rPr>
            </w:pPr>
            <w:r>
              <w:rPr>
                <w:sz w:val="22"/>
              </w:rPr>
              <w:tab/>
              <w:tab/>
              <w:tab/>
              <w:tab/>
              <w:tab/>
            </w:r>
          </w:p>
          <w:p>
            <w:pPr>
              <w:pStyle w:val="Normal"/>
              <w:rPr>
                <w:sz w:val="22"/>
                <w:u w:val="single"/>
              </w:rPr>
            </w:pPr>
            <w:r>
              <w:rPr>
                <w:sz w:val="22"/>
              </w:rPr>
              <w:t>By: ___________</w:t>
            </w:r>
            <w:r>
              <w:rPr>
                <w:b/>
                <w:i/>
                <w:sz w:val="22"/>
              </w:rPr>
              <w:t>DRAFT</w:t>
            </w:r>
            <w:r>
              <w:rPr>
                <w:sz w:val="22"/>
              </w:rPr>
              <w:t>____________</w:t>
            </w:r>
          </w:p>
          <w:p>
            <w:pPr>
              <w:pStyle w:val="Normal"/>
              <w:rPr>
                <w:sz w:val="22"/>
              </w:rPr>
            </w:pPr>
            <w:r>
              <w:rPr>
                <w:sz w:val="22"/>
              </w:rPr>
              <w:t>Name: ___________________________</w:t>
            </w:r>
          </w:p>
          <w:p>
            <w:pPr>
              <w:pStyle w:val="Normal"/>
              <w:rPr>
                <w:sz w:val="22"/>
              </w:rPr>
            </w:pPr>
            <w:r>
              <w:rPr>
                <w:sz w:val="22"/>
              </w:rPr>
              <w:t>Title: ____________________________</w:t>
            </w:r>
          </w:p>
        </w:tc>
        <w:tc>
          <w:tcPr>
            <w:tcW w:w="5292" w:type="dxa"/>
            <w:tcBorders/>
          </w:tcPr>
          <w:p>
            <w:pPr>
              <w:pStyle w:val="Normal"/>
              <w:rPr>
                <w:sz w:val="22"/>
              </w:rPr>
            </w:pPr>
            <w:r>
              <w:rPr>
                <w:sz w:val="22"/>
              </w:rPr>
              <w:t>Deal No. XXXXX</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Delano Energy Company, Inc.</w:t>
            </w:r>
          </w:p>
          <w:p>
            <w:pPr>
              <w:pStyle w:val="Normal"/>
              <w:rPr>
                <w:sz w:val="22"/>
              </w:rPr>
            </w:pPr>
            <w:r>
              <w:rPr>
                <w:sz w:val="22"/>
              </w:rPr>
            </w:r>
          </w:p>
          <w:p>
            <w:pPr>
              <w:pStyle w:val="Normal"/>
              <w:rPr/>
            </w:pPr>
            <w:r>
              <w:rPr>
                <w:sz w:val="22"/>
              </w:rPr>
              <w:t>By: _________</w:t>
            </w:r>
            <w:r>
              <w:rPr>
                <w:b/>
                <w:i/>
                <w:sz w:val="22"/>
              </w:rPr>
              <w:t>DRAFT</w:t>
            </w:r>
            <w:r>
              <w:rPr>
                <w:sz w:val="22"/>
              </w:rPr>
              <w:t>_____________</w:t>
            </w:r>
          </w:p>
          <w:p>
            <w:pPr>
              <w:pStyle w:val="Normal"/>
              <w:rPr/>
            </w:pPr>
            <w:r>
              <w:rPr>
                <w:sz w:val="22"/>
              </w:rPr>
              <w:t xml:space="preserve">Name:  </w:t>
            </w:r>
            <w:r>
              <w:rPr>
                <w:sz w:val="22"/>
                <w:u w:val="single"/>
              </w:rPr>
              <w:tab/>
              <w:tab/>
              <w:t>________</w:t>
              <w:tab/>
              <w:t>______</w:t>
            </w:r>
          </w:p>
          <w:p>
            <w:pPr>
              <w:pStyle w:val="Normal"/>
              <w:rPr>
                <w:sz w:val="22"/>
              </w:rPr>
            </w:pPr>
            <w:r>
              <w:rPr>
                <w:sz w:val="22"/>
              </w:rPr>
              <w:t xml:space="preserve">Title:  </w:t>
            </w:r>
            <w:r>
              <w:rPr>
                <w:sz w:val="22"/>
                <w:u w:val="single"/>
              </w:rPr>
              <w:tab/>
              <w:tab/>
              <w:tab/>
              <w:tab/>
              <w:tab/>
            </w:r>
          </w:p>
        </w:tc>
      </w:tr>
      <w:tr>
        <w:trPr/>
        <w:tc>
          <w:tcPr>
            <w:tcW w:w="5148" w:type="dxa"/>
            <w:tcBorders/>
          </w:tcPr>
          <w:p>
            <w:pPr>
              <w:pStyle w:val="Normal"/>
              <w:snapToGrid w:val="false"/>
              <w:rPr>
                <w:sz w:val="22"/>
              </w:rPr>
            </w:pPr>
            <w:r>
              <w:rPr>
                <w:sz w:val="22"/>
              </w:rPr>
            </w:r>
          </w:p>
        </w:tc>
        <w:tc>
          <w:tcPr>
            <w:tcW w:w="5292" w:type="dxa"/>
            <w:tcBorders/>
          </w:tcPr>
          <w:p>
            <w:pPr>
              <w:pStyle w:val="Normal"/>
              <w:snapToGrid w:val="false"/>
              <w:rPr>
                <w:sz w:val="22"/>
              </w:rPr>
            </w:pPr>
            <w:r>
              <w:rPr>
                <w:sz w:val="22"/>
              </w:rPr>
            </w:r>
          </w:p>
        </w:tc>
      </w:tr>
    </w:tbl>
    <w:p>
      <w:pPr>
        <w:pStyle w:val="Normal"/>
        <w:rPr>
          <w:sz w:val="22"/>
        </w:rPr>
      </w:pPr>
      <w:r>
        <w:rPr>
          <w:sz w:val="22"/>
        </w:rPr>
      </w:r>
    </w:p>
    <w:sectPr>
      <w:headerReference w:type="default" r:id="rId4"/>
      <w:footerReference w:type="default" r:id="rId5"/>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2"/>
      </w:rPr>
    </w:pPr>
    <w:r>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Footer"/>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DRAFT – FOR DISCUSSION PURPOSES ONLY                              Deal No. XXXXX</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208.152.75.14/hareport14/Umcphzp.asp"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2000-01-06T17:56:00Z</dcterms:created>
  <dc:creator>ECT</dc:creator>
  <dc:description/>
  <dc:language>en-CA</dc:language>
  <cp:lastModifiedBy>sshackl</cp:lastModifiedBy>
  <cp:lastPrinted>1999-08-25T10:28:00Z</cp:lastPrinted>
  <dcterms:modified xsi:type="dcterms:W3CDTF">2000-01-06T17:58:00Z</dcterms:modified>
  <cp:revision>4</cp:revision>
  <dc:subject/>
  <dc:title>222216.1</dc:title>
</cp:coreProperties>
</file>