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b/>
          <w:bCs/>
        </w:rPr>
        <w:t>Unsubscribed Capacity</w:t>
      </w:r>
      <w:r>
        <w:rPr>
          <w:b/>
          <w:bCs/>
          <w:u w:val="none"/>
        </w:rPr>
        <w:t xml:space="preserve"> - </w:t>
      </w:r>
    </w:p>
    <w:p>
      <w:pPr>
        <w:pStyle w:val="Heading3"/>
        <w:ind w:hanging="0" w:start="0"/>
        <w:rPr>
          <w:b/>
          <w:bCs/>
          <w:u w:val="none"/>
        </w:rPr>
      </w:pPr>
      <w:r>
        <w:rPr>
          <w:b/>
          <w:bCs/>
          <w:u w:val="none"/>
        </w:rPr>
      </w:r>
    </w:p>
    <w:p>
      <w:pPr>
        <w:pStyle w:val="Heading7"/>
        <w:ind w:start="0" w:end="0"/>
        <w:rPr/>
      </w:pPr>
      <w:r>
        <w:rPr/>
        <w:t>Definition</w:t>
      </w:r>
      <w:r>
        <w:rPr>
          <w:b w:val="false"/>
          <w:bCs w:val="false"/>
        </w:rPr>
        <w:t xml:space="preserve"> </w:t>
      </w:r>
      <w:r>
        <w:rPr/>
        <w:t xml:space="preserve">– </w:t>
      </w:r>
      <w:r>
        <w:rPr>
          <w:b w:val="false"/>
          <w:bCs w:val="false"/>
        </w:rPr>
        <w:t xml:space="preserve">The total unsubscribed long-term sustainable and short-term sustainable capacity available to sell on a firm basis by point. </w:t>
      </w:r>
    </w:p>
    <w:p>
      <w:pPr>
        <w:pStyle w:val="BodyTextIndent"/>
        <w:rPr>
          <w:b/>
          <w:bCs/>
        </w:rPr>
      </w:pPr>
      <w:r>
        <w:rPr>
          <w:b/>
          <w:bCs/>
        </w:rPr>
      </w:r>
    </w:p>
    <w:p>
      <w:pPr>
        <w:pStyle w:val="BodyTextIndent"/>
        <w:ind w:hanging="0" w:start="0" w:end="0"/>
        <w:rPr/>
      </w:pPr>
      <w:r>
        <w:rPr>
          <w:b/>
          <w:bCs/>
        </w:rPr>
        <w:t xml:space="preserve">Posting Information and Requirements – </w:t>
      </w:r>
      <w:r>
        <w:rPr/>
        <w:t>After the minimum posting period set forth below, such capacity can be sold on a firm basis.  Northern will evaluate any bids, award the capacity based on the bid evaluation methodology set forth in General Information (under paragraph 5) below, notify unsuccessful bidders and tender an agreement.  No agreements will be tendered or bids accepted until the capacity has been posted for the required time period and completion of the bid evaluation process.</w:t>
      </w:r>
      <w:r>
        <w:rPr>
          <w:bCs/>
        </w:rPr>
        <w:t xml:space="preserve">  Northern is not required to execute any contract for service at less than maximum rates.</w:t>
      </w:r>
    </w:p>
    <w:p>
      <w:pPr>
        <w:pStyle w:val="BodyTextIndent"/>
        <w:ind w:hanging="0" w:start="0" w:end="0"/>
        <w:rPr>
          <w:b/>
          <w:bCs/>
        </w:rPr>
      </w:pPr>
      <w:r>
        <w:rPr>
          <w:b/>
          <w:bCs/>
        </w:rPr>
      </w:r>
    </w:p>
    <w:p>
      <w:pPr>
        <w:pStyle w:val="BodyTextIndent"/>
        <w:ind w:hanging="0" w:start="0" w:end="0"/>
        <w:rPr>
          <w:b/>
          <w:bCs/>
        </w:rPr>
      </w:pPr>
      <w:r>
        <w:rPr>
          <w:b/>
          <w:bCs/>
        </w:rPr>
        <w:t xml:space="preserve">Capacity will </w:t>
      </w:r>
      <w:r>
        <w:rPr>
          <w:b/>
          <w:bCs/>
          <w:u w:val="single"/>
        </w:rPr>
        <w:t>not</w:t>
      </w:r>
      <w:r>
        <w:rPr>
          <w:b/>
          <w:bCs/>
        </w:rPr>
        <w:t xml:space="preserve"> be sold on a firm basis until it has been posted for at least:</w:t>
      </w:r>
      <w:r>
        <w:rPr>
          <w:rStyle w:val="FootnoteCharacters"/>
          <w:b/>
          <w:bCs/>
        </w:rPr>
        <w:t xml:space="preserve"> </w:t>
      </w:r>
      <w:r>
        <w:rPr>
          <w:rStyle w:val="FootnoteCharacters"/>
          <w:rStyle w:val="FootnoteReference"/>
          <w:b/>
          <w:bCs/>
        </w:rPr>
        <w:footnoteReference w:id="2"/>
      </w:r>
    </w:p>
    <w:p>
      <w:pPr>
        <w:pStyle w:val="Normal"/>
        <w:numPr>
          <w:ilvl w:val="0"/>
          <w:numId w:val="3"/>
        </w:numPr>
        <w:rPr>
          <w:rFonts w:ascii="Arial" w:hAnsi="Arial" w:cs="Arial"/>
          <w:b/>
        </w:rPr>
      </w:pPr>
      <w:r>
        <w:rPr>
          <w:rFonts w:cs="Arial" w:ascii="Arial" w:hAnsi="Arial"/>
          <w:b/>
        </w:rPr>
        <w:t>5 business days (9:00 a.m. to 5:00 p.m.) for capacity available for one year or longer;</w:t>
      </w:r>
    </w:p>
    <w:p>
      <w:pPr>
        <w:pStyle w:val="Normal"/>
        <w:numPr>
          <w:ilvl w:val="0"/>
          <w:numId w:val="3"/>
        </w:numPr>
        <w:rPr>
          <w:rFonts w:ascii="Arial" w:hAnsi="Arial" w:cs="Arial"/>
          <w:b/>
        </w:rPr>
      </w:pPr>
      <w:r>
        <w:rPr>
          <w:rFonts w:cs="Arial" w:ascii="Arial" w:hAnsi="Arial"/>
          <w:b/>
        </w:rPr>
        <w:t>3 business days for capacity available for more than 5 months but less than one year;</w:t>
      </w:r>
    </w:p>
    <w:p>
      <w:pPr>
        <w:pStyle w:val="Normal"/>
        <w:numPr>
          <w:ilvl w:val="0"/>
          <w:numId w:val="3"/>
        </w:numPr>
        <w:rPr>
          <w:rFonts w:ascii="Arial" w:hAnsi="Arial" w:cs="Arial"/>
          <w:b/>
        </w:rPr>
      </w:pPr>
      <w:r>
        <w:rPr>
          <w:rFonts w:cs="Arial" w:ascii="Arial" w:hAnsi="Arial"/>
          <w:b/>
        </w:rPr>
        <w:t xml:space="preserve">1 business day for capacity available for 1 to 5 months; and </w:t>
      </w:r>
    </w:p>
    <w:p>
      <w:pPr>
        <w:pStyle w:val="Normal"/>
        <w:numPr>
          <w:ilvl w:val="0"/>
          <w:numId w:val="3"/>
        </w:numPr>
        <w:rPr>
          <w:rFonts w:ascii="Arial" w:hAnsi="Arial" w:cs="Arial"/>
          <w:b/>
        </w:rPr>
      </w:pPr>
      <w:r>
        <w:rPr>
          <w:rFonts w:cs="Arial" w:ascii="Arial" w:hAnsi="Arial"/>
          <w:b/>
        </w:rPr>
        <w:t xml:space="preserve">1 hour for capacity available for less than one month. </w:t>
      </w:r>
    </w:p>
    <w:p>
      <w:pPr>
        <w:pStyle w:val="BodyTextIndent"/>
        <w:ind w:hanging="0" w:start="0" w:end="0"/>
        <w:rPr>
          <w:rFonts w:ascii="Arial" w:hAnsi="Arial" w:cs="Arial"/>
          <w:b/>
        </w:rPr>
      </w:pPr>
      <w:r>
        <w:rPr>
          <w:rFonts w:cs="Arial" w:ascii="Arial" w:hAnsi="Arial"/>
          <w:b/>
        </w:rPr>
      </w:r>
    </w:p>
    <w:p>
      <w:pPr>
        <w:pStyle w:val="BodyTextIndent"/>
        <w:ind w:hanging="0" w:start="0" w:end="0"/>
        <w:rPr/>
      </w:pPr>
      <w:r>
        <w:rPr/>
        <w:t xml:space="preserve">Northern will post on its website the following report regarding unsubscribed capacity.  After the minimum posting period, such capacity can be advertised on </w:t>
      </w:r>
      <w:r>
        <w:rPr>
          <w:i/>
          <w:iCs/>
        </w:rPr>
        <w:t xml:space="preserve">EnronOnline </w:t>
      </w:r>
      <w:r>
        <w:rPr/>
        <w:t xml:space="preserve">or sold by Marketing.  This report is located on </w:t>
      </w:r>
      <w:r>
        <w:rPr>
          <w:b/>
          <w:bCs/>
          <w:i/>
          <w:iCs/>
        </w:rPr>
        <w:t>Northern’s Home Page</w:t>
      </w:r>
      <w:r>
        <w:rPr/>
        <w:t xml:space="preserve"> under </w:t>
      </w:r>
      <w:r>
        <w:rPr>
          <w:i/>
          <w:iCs/>
        </w:rPr>
        <w:t xml:space="preserve">Informational Postings, </w:t>
      </w:r>
      <w:r>
        <w:rPr/>
        <w:t>under</w:t>
      </w:r>
      <w:r>
        <w:rPr>
          <w:i/>
          <w:iCs/>
        </w:rPr>
        <w:t xml:space="preserve"> Capacity, </w:t>
      </w:r>
      <w:r>
        <w:rPr/>
        <w:t xml:space="preserve">under </w:t>
      </w:r>
      <w:r>
        <w:rPr>
          <w:i/>
          <w:iCs/>
        </w:rPr>
        <w:t>Unsubscribed Capacity</w:t>
      </w:r>
      <w:r>
        <w:rPr/>
        <w:t xml:space="preserve">.  </w:t>
      </w:r>
    </w:p>
    <w:p>
      <w:pPr>
        <w:pStyle w:val="BodyTextIndent"/>
        <w:ind w:hanging="0" w:start="360" w:end="0"/>
        <w:rPr/>
      </w:pPr>
      <w:r>
        <w:rPr/>
      </w:r>
    </w:p>
    <w:p>
      <w:pPr>
        <w:pStyle w:val="BodyTextIndent"/>
        <w:ind w:hanging="0" w:start="360" w:end="0"/>
        <w:rPr/>
      </w:pPr>
      <w:r>
        <w:rPr>
          <w:u w:val="single"/>
        </w:rPr>
        <w:t>Unsubscribed Capacity by Point:</w:t>
      </w:r>
      <w:r>
        <w:rPr/>
        <w:t xml:space="preserve"> – This report provides unsubscribed capacity information for all receipt and delivery points listed in Northern’s point catalog including group level information.  This is the only report that shows both point and group information on the same report.  Other information regarding this report: </w:t>
      </w:r>
    </w:p>
    <w:p>
      <w:pPr>
        <w:pStyle w:val="BodyTextIndent"/>
        <w:numPr>
          <w:ilvl w:val="0"/>
          <w:numId w:val="5"/>
        </w:numPr>
        <w:rPr/>
      </w:pPr>
      <w:r>
        <w:rPr/>
        <w:t>Includes all unsubscribed capacity.</w:t>
      </w:r>
    </w:p>
    <w:p>
      <w:pPr>
        <w:pStyle w:val="BodyTextIndent"/>
        <w:numPr>
          <w:ilvl w:val="0"/>
          <w:numId w:val="5"/>
        </w:numPr>
        <w:rPr/>
      </w:pPr>
      <w:r>
        <w:rPr/>
        <w:t xml:space="preserve">Information on this report </w:t>
      </w:r>
      <w:r>
        <w:rPr>
          <w:u w:val="single"/>
        </w:rPr>
        <w:t>can</w:t>
      </w:r>
      <w:r>
        <w:rPr/>
        <w:t xml:space="preserve"> be downloaded and is available in an EDI format.  </w:t>
      </w:r>
    </w:p>
    <w:p>
      <w:pPr>
        <w:pStyle w:val="BodyTextIndent"/>
        <w:numPr>
          <w:ilvl w:val="0"/>
          <w:numId w:val="5"/>
        </w:numPr>
        <w:rPr/>
      </w:pPr>
      <w:r>
        <w:rPr/>
        <w:t>This report reflects capacity available for the gas day - two (2) days in the future.</w:t>
      </w:r>
    </w:p>
    <w:p>
      <w:pPr>
        <w:pStyle w:val="Normal"/>
        <w:rPr/>
      </w:pPr>
      <w:r>
        <w:rPr/>
      </w:r>
    </w:p>
    <w:p>
      <w:pPr>
        <w:pStyle w:val="Normal"/>
        <w:rPr/>
      </w:pPr>
      <w:r>
        <w:rPr/>
      </w:r>
    </w:p>
    <w:p>
      <w:pPr>
        <w:pStyle w:val="Heading3"/>
        <w:ind w:hanging="0" w:start="0"/>
        <w:rPr/>
      </w:pPr>
      <w:r>
        <w:rPr>
          <w:b/>
          <w:bCs/>
        </w:rPr>
        <w:t xml:space="preserve">Long Term Sustainable Capacity (LTSC)  </w:t>
      </w:r>
      <w:r>
        <w:rPr>
          <w:u w:val="none"/>
        </w:rPr>
        <w:t xml:space="preserve">- </w:t>
      </w:r>
    </w:p>
    <w:p>
      <w:pPr>
        <w:pStyle w:val="Normal"/>
        <w:jc w:val="both"/>
        <w:rPr>
          <w:sz w:val="24"/>
          <w:u w:val="none"/>
        </w:rPr>
      </w:pPr>
      <w:r>
        <w:rPr>
          <w:sz w:val="24"/>
          <w:u w:val="none"/>
        </w:rPr>
      </w:r>
    </w:p>
    <w:p>
      <w:pPr>
        <w:pStyle w:val="Normal"/>
        <w:jc w:val="both"/>
        <w:rPr/>
      </w:pPr>
      <w:r>
        <w:rPr>
          <w:b/>
          <w:bCs/>
          <w:sz w:val="24"/>
        </w:rPr>
        <w:t xml:space="preserve">Definition - </w:t>
      </w:r>
      <w:r>
        <w:rPr>
          <w:sz w:val="24"/>
        </w:rPr>
        <w:t>Capacity Northern is willing to sell on a primary firm basis and which Northern is able to sustain for at least 150 consecutive days.  Long Term Sustainable Capacity is determined at both a group and point level.</w:t>
      </w:r>
    </w:p>
    <w:p>
      <w:pPr>
        <w:pStyle w:val="BodyTextIndent"/>
        <w:rPr>
          <w:sz w:val="24"/>
        </w:rPr>
      </w:pPr>
      <w:r>
        <w:rPr>
          <w:sz w:val="24"/>
        </w:rPr>
      </w:r>
    </w:p>
    <w:p>
      <w:pPr>
        <w:pStyle w:val="BodyTextIndent"/>
        <w:ind w:hanging="0" w:start="0" w:end="0"/>
        <w:rPr>
          <w:b/>
          <w:bCs/>
        </w:rPr>
      </w:pPr>
      <w:r>
        <w:rPr>
          <w:b/>
          <w:bCs/>
        </w:rPr>
        <w:t xml:space="preserve">Posting Information and Requirements – </w:t>
      </w:r>
      <w:r>
        <w:rPr/>
        <w:t>After the minimum posting period set forth below, Northern will evaluate any bids, award the capacity based on the bid evaluation methodology set forth in General Information (under paragraph 5) below, notify unsuccessful bidders and tender an agreement.  No agreements will be tendered or bids accepted until the capacity has been posted for the required time period and completion of the bid evaluation process.</w:t>
      </w:r>
      <w:r>
        <w:rPr>
          <w:bCs/>
        </w:rPr>
        <w:t xml:space="preserve">  Northern is not required to execute any contract for service at less than maximum rates.</w:t>
      </w:r>
    </w:p>
    <w:p>
      <w:pPr>
        <w:pStyle w:val="BodyTextIndent"/>
        <w:ind w:hanging="0" w:start="0" w:end="0"/>
        <w:rPr>
          <w:b/>
          <w:bCs/>
        </w:rPr>
      </w:pPr>
      <w:r>
        <w:rPr>
          <w:b/>
          <w:bCs/>
        </w:rPr>
      </w:r>
    </w:p>
    <w:p>
      <w:pPr>
        <w:pStyle w:val="BodyTextIndent"/>
        <w:ind w:hanging="0" w:start="0" w:end="0"/>
        <w:rPr>
          <w:b/>
          <w:bCs/>
        </w:rPr>
      </w:pPr>
      <w:r>
        <w:rPr>
          <w:b/>
          <w:bCs/>
        </w:rPr>
        <w:t xml:space="preserve">Capacity will </w:t>
      </w:r>
      <w:r>
        <w:rPr>
          <w:b/>
          <w:bCs/>
          <w:u w:val="single"/>
        </w:rPr>
        <w:t>not</w:t>
      </w:r>
      <w:r>
        <w:rPr>
          <w:b/>
          <w:bCs/>
        </w:rPr>
        <w:t xml:space="preserve"> be sold on a firm basis until it has been posted for at least:</w:t>
      </w:r>
      <w:r>
        <w:rPr/>
        <w:t xml:space="preserve"> </w:t>
      </w:r>
    </w:p>
    <w:p>
      <w:pPr>
        <w:pStyle w:val="Normal"/>
        <w:numPr>
          <w:ilvl w:val="0"/>
          <w:numId w:val="3"/>
        </w:numPr>
        <w:rPr>
          <w:rFonts w:ascii="Arial" w:hAnsi="Arial" w:cs="Arial"/>
          <w:b/>
        </w:rPr>
      </w:pPr>
      <w:r>
        <w:rPr>
          <w:rFonts w:cs="Arial" w:ascii="Arial" w:hAnsi="Arial"/>
          <w:b/>
        </w:rPr>
        <w:t>5 business days (9:00 a.m. to 5:00 p.m.) for capacity available for one year or longer; and</w:t>
      </w:r>
    </w:p>
    <w:p>
      <w:pPr>
        <w:pStyle w:val="Normal"/>
        <w:numPr>
          <w:ilvl w:val="0"/>
          <w:numId w:val="3"/>
        </w:numPr>
        <w:rPr>
          <w:rFonts w:ascii="Arial" w:hAnsi="Arial" w:cs="Arial"/>
          <w:b/>
        </w:rPr>
      </w:pPr>
      <w:r>
        <w:rPr>
          <w:rFonts w:cs="Arial" w:ascii="Arial" w:hAnsi="Arial"/>
          <w:b/>
        </w:rPr>
        <w:t>3 business days for capacity available for more than 5 months but less than one year.</w:t>
      </w:r>
    </w:p>
    <w:p>
      <w:pPr>
        <w:pStyle w:val="BodyTextIndent"/>
        <w:ind w:hanging="0" w:start="0" w:end="0"/>
        <w:rPr>
          <w:rFonts w:ascii="Arial" w:hAnsi="Arial" w:cs="Arial"/>
          <w:b/>
          <w:bCs/>
        </w:rPr>
      </w:pPr>
      <w:r>
        <w:rPr>
          <w:rFonts w:cs="Arial" w:ascii="Arial" w:hAnsi="Arial"/>
          <w:b/>
          <w:bCs/>
        </w:rPr>
      </w:r>
    </w:p>
    <w:p>
      <w:pPr>
        <w:pStyle w:val="BodyTextIndent"/>
        <w:ind w:hanging="0" w:start="0" w:end="0"/>
        <w:rPr/>
      </w:pPr>
      <w:r>
        <w:rPr/>
        <w:t>Northern will post on its website the following reports regarding unsubscribed LTSC.  These reports are updated and posted daily (typically around 7-8 a.m.).</w:t>
      </w:r>
      <w:r>
        <w:rPr>
          <w:rStyle w:val="FootnoteCharacters"/>
          <w:rStyle w:val="FootnoteReference"/>
        </w:rPr>
        <w:footnoteReference w:id="3"/>
      </w:r>
      <w:r>
        <w:rPr/>
        <w:t xml:space="preserve">  These reports are located on </w:t>
      </w:r>
      <w:r>
        <w:rPr>
          <w:b/>
          <w:bCs/>
          <w:i/>
          <w:iCs/>
        </w:rPr>
        <w:t>Northern’s Home Page</w:t>
      </w:r>
      <w:r>
        <w:rPr/>
        <w:t xml:space="preserve"> under </w:t>
      </w:r>
      <w:r>
        <w:rPr>
          <w:i/>
          <w:iCs/>
        </w:rPr>
        <w:t xml:space="preserve">Informational Postings, </w:t>
      </w:r>
      <w:r>
        <w:rPr/>
        <w:t>under</w:t>
      </w:r>
      <w:r>
        <w:rPr>
          <w:i/>
          <w:iCs/>
        </w:rPr>
        <w:t xml:space="preserve"> Capacity, </w:t>
      </w:r>
      <w:r>
        <w:rPr/>
        <w:t xml:space="preserve">under </w:t>
      </w:r>
      <w:r>
        <w:rPr>
          <w:i/>
          <w:iCs/>
        </w:rPr>
        <w:t>Unsubscribed Capacity</w:t>
      </w:r>
      <w:r>
        <w:rPr/>
        <w:t>.</w:t>
      </w:r>
    </w:p>
    <w:p>
      <w:pPr>
        <w:pStyle w:val="BodyTextIndent"/>
        <w:ind w:hanging="0" w:start="360" w:end="0"/>
        <w:rPr/>
      </w:pPr>
      <w:r>
        <w:rPr/>
      </w:r>
    </w:p>
    <w:p>
      <w:pPr>
        <w:pStyle w:val="BodyTextIndent"/>
        <w:ind w:hanging="0" w:start="360" w:end="0"/>
        <w:rPr/>
      </w:pPr>
      <w:r>
        <w:rPr>
          <w:u w:val="single"/>
        </w:rPr>
        <w:t>Long-Term Unsubscribed Capacity by Point:</w:t>
      </w:r>
      <w:r>
        <w:rPr/>
        <w:t xml:space="preserve"> - This report provides unsubscribed LTSC information for all receipt and delivery points listed in Northern’s point catalog for a rolling thirteen-month period.  Other information regarding this report:</w:t>
      </w:r>
    </w:p>
    <w:p>
      <w:pPr>
        <w:pStyle w:val="BodyTextIndent"/>
        <w:numPr>
          <w:ilvl w:val="0"/>
          <w:numId w:val="7"/>
        </w:numPr>
        <w:rPr/>
      </w:pPr>
      <w:r>
        <w:rPr/>
        <w:t>The report contains a “New Cap” flag to identify newly available capacity.</w:t>
      </w:r>
    </w:p>
    <w:p>
      <w:pPr>
        <w:pStyle w:val="BodyTextIndent"/>
        <w:numPr>
          <w:ilvl w:val="0"/>
          <w:numId w:val="7"/>
        </w:numPr>
        <w:rPr/>
      </w:pPr>
      <w:r>
        <w:rPr/>
        <w:t>This report provides the lowest capacity available for each month.</w:t>
      </w:r>
    </w:p>
    <w:p>
      <w:pPr>
        <w:pStyle w:val="BodyTextIndent"/>
        <w:numPr>
          <w:ilvl w:val="0"/>
          <w:numId w:val="7"/>
        </w:numPr>
        <w:rPr/>
      </w:pPr>
      <w:r>
        <w:rPr/>
        <w:t xml:space="preserve">This report does </w:t>
      </w:r>
      <w:r>
        <w:rPr>
          <w:u w:val="single"/>
        </w:rPr>
        <w:t>not</w:t>
      </w:r>
      <w:r>
        <w:rPr/>
        <w:t xml:space="preserve"> check against available group capacities.</w:t>
      </w:r>
    </w:p>
    <w:p>
      <w:pPr>
        <w:pStyle w:val="BodyTextIndent"/>
        <w:numPr>
          <w:ilvl w:val="0"/>
          <w:numId w:val="7"/>
        </w:numPr>
        <w:rPr/>
      </w:pPr>
      <w:r>
        <w:rPr/>
        <w:t xml:space="preserve">This report can be downloaded but is </w:t>
      </w:r>
      <w:r>
        <w:rPr>
          <w:u w:val="single"/>
        </w:rPr>
        <w:t>not</w:t>
      </w:r>
      <w:r>
        <w:rPr/>
        <w:t xml:space="preserve"> available in an EDI format.</w:t>
      </w:r>
    </w:p>
    <w:p>
      <w:pPr>
        <w:pStyle w:val="Normal"/>
        <w:jc w:val="both"/>
        <w:rPr>
          <w:sz w:val="24"/>
        </w:rPr>
      </w:pPr>
      <w:r>
        <w:rPr>
          <w:sz w:val="24"/>
        </w:rPr>
      </w:r>
    </w:p>
    <w:p>
      <w:pPr>
        <w:pStyle w:val="BodyTextIndent"/>
        <w:ind w:hanging="0" w:start="360" w:end="0"/>
        <w:rPr/>
      </w:pPr>
      <w:r>
        <w:rPr>
          <w:u w:val="single"/>
        </w:rPr>
        <w:t>Long-Term Unsubscribed Capacity by Group:</w:t>
      </w:r>
      <w:r>
        <w:rPr/>
        <w:t xml:space="preserve"> - This report provides unsubscribed LTSC information for specified groups on Northern’s system for a rolling thirteen-month period.  Other information regarding this report:</w:t>
      </w:r>
    </w:p>
    <w:p>
      <w:pPr>
        <w:pStyle w:val="BodyTextIndent"/>
        <w:numPr>
          <w:ilvl w:val="0"/>
          <w:numId w:val="7"/>
        </w:numPr>
        <w:rPr/>
      </w:pPr>
      <w:r>
        <w:rPr/>
        <w:t xml:space="preserve">The report does </w:t>
      </w:r>
      <w:r>
        <w:rPr>
          <w:u w:val="single"/>
        </w:rPr>
        <w:t>not</w:t>
      </w:r>
      <w:r>
        <w:rPr/>
        <w:t xml:space="preserve"> identify newly available capacity.</w:t>
      </w:r>
    </w:p>
    <w:p>
      <w:pPr>
        <w:pStyle w:val="BodyTextIndent"/>
        <w:numPr>
          <w:ilvl w:val="0"/>
          <w:numId w:val="7"/>
        </w:numPr>
        <w:rPr/>
      </w:pPr>
      <w:r>
        <w:rPr/>
        <w:t xml:space="preserve">This report is downloadable but is </w:t>
      </w:r>
      <w:r>
        <w:rPr>
          <w:u w:val="single"/>
        </w:rPr>
        <w:t>not</w:t>
      </w:r>
      <w:r>
        <w:rPr/>
        <w:t xml:space="preserve"> available in an EDI format.</w:t>
      </w:r>
    </w:p>
    <w:p>
      <w:pPr>
        <w:pStyle w:val="BodyTextIndent"/>
        <w:ind w:hanging="0" w:start="0" w:end="0"/>
        <w:rPr/>
      </w:pPr>
      <w:r>
        <w:rPr/>
      </w:r>
    </w:p>
    <w:p>
      <w:pPr>
        <w:pStyle w:val="Normal"/>
        <w:jc w:val="both"/>
        <w:rPr>
          <w:sz w:val="24"/>
        </w:rPr>
      </w:pPr>
      <w:r>
        <w:rPr>
          <w:sz w:val="24"/>
        </w:rPr>
      </w:r>
    </w:p>
    <w:p>
      <w:pPr>
        <w:pStyle w:val="Normal"/>
        <w:jc w:val="both"/>
        <w:rPr>
          <w:sz w:val="24"/>
        </w:rPr>
      </w:pPr>
      <w:r>
        <w:rPr>
          <w:b/>
          <w:bCs/>
          <w:sz w:val="24"/>
          <w:u w:val="single"/>
        </w:rPr>
        <w:t>Short Term Sustainable Capacity (STSC)</w:t>
      </w:r>
      <w:r>
        <w:rPr>
          <w:b/>
          <w:bCs/>
          <w:sz w:val="24"/>
        </w:rPr>
        <w:t xml:space="preserve"> - </w:t>
      </w:r>
    </w:p>
    <w:p>
      <w:pPr>
        <w:pStyle w:val="BodyTextIndent"/>
        <w:rPr>
          <w:sz w:val="24"/>
        </w:rPr>
      </w:pPr>
      <w:r>
        <w:rPr>
          <w:sz w:val="24"/>
        </w:rPr>
      </w:r>
    </w:p>
    <w:p>
      <w:pPr>
        <w:pStyle w:val="BodyTextIndent"/>
        <w:ind w:hanging="0" w:start="0" w:end="0"/>
        <w:rPr>
          <w:b/>
          <w:bCs/>
        </w:rPr>
      </w:pPr>
      <w:r>
        <w:rPr>
          <w:b/>
          <w:bCs/>
        </w:rPr>
        <w:t xml:space="preserve">Definition - </w:t>
      </w:r>
      <w:r>
        <w:rPr/>
        <w:t xml:space="preserve">Capacity Northern is willing to sell firm from time-to-time above Long Term Sustainable Capacity for periods greater than one month but less than 150 consecutive days.  This capacity is determined to be available at certain times based upon varying operating conditions that occur on the system, portion(s) of the system, or at a point on the system.  STSC capacity is not available to sell and will </w:t>
      </w:r>
      <w:r>
        <w:rPr>
          <w:u w:val="single"/>
        </w:rPr>
        <w:t>not</w:t>
      </w:r>
      <w:r>
        <w:rPr/>
        <w:t xml:space="preserve"> be posted unless effective LTSC has been sold out.</w:t>
      </w:r>
      <w:r>
        <w:rPr>
          <w:rStyle w:val="FootnoteCharacters"/>
          <w:rStyle w:val="FootnoteReference"/>
        </w:rPr>
        <w:footnoteReference w:id="4"/>
      </w:r>
      <w:r>
        <w:rPr/>
        <w:t xml:space="preserve">  The STSC can vary monthly or seasonally based upon system operating conditions.  This does </w:t>
      </w:r>
      <w:r>
        <w:rPr>
          <w:u w:val="single"/>
        </w:rPr>
        <w:t>not</w:t>
      </w:r>
      <w:r>
        <w:rPr/>
        <w:t xml:space="preserve"> include Daily Capacity.  Daily Capacity is discussed in detail below.</w:t>
      </w:r>
    </w:p>
    <w:p>
      <w:pPr>
        <w:pStyle w:val="BodyTextIndent"/>
        <w:rPr>
          <w:b/>
          <w:bCs/>
        </w:rPr>
      </w:pPr>
      <w:r>
        <w:rPr>
          <w:b/>
          <w:bCs/>
        </w:rPr>
      </w:r>
    </w:p>
    <w:p>
      <w:pPr>
        <w:pStyle w:val="BodyTextIndent"/>
        <w:ind w:hanging="0" w:start="0" w:end="0"/>
        <w:rPr/>
      </w:pPr>
      <w:r>
        <w:rPr>
          <w:b/>
          <w:bCs/>
        </w:rPr>
        <w:t xml:space="preserve">Posting Information and Requirements – </w:t>
      </w:r>
      <w:r>
        <w:rPr/>
        <w:t>After the minimum posting period set forth below, Northern will evaluate any bids, award the capacity based on the bid evaluation methodology set forth in General Information (under paragraph 5) below, notify unsuccessful bidders and tender an agreement.  No agreements will be tendered or bids accepted until the capacity has been posted for the required time period and completion of the bid evaluation process.</w:t>
      </w:r>
      <w:r>
        <w:rPr>
          <w:bCs/>
        </w:rPr>
        <w:t xml:space="preserve">  Northern is not required to execute any contract for service at less than maximum rates.</w:t>
      </w:r>
    </w:p>
    <w:p>
      <w:pPr>
        <w:pStyle w:val="BodyTextIndent"/>
        <w:ind w:hanging="0" w:start="0" w:end="0"/>
        <w:rPr>
          <w:b/>
          <w:bCs/>
        </w:rPr>
      </w:pPr>
      <w:r>
        <w:rPr>
          <w:b/>
          <w:bCs/>
        </w:rPr>
      </w:r>
    </w:p>
    <w:p>
      <w:pPr>
        <w:pStyle w:val="BodyTextIndent"/>
        <w:ind w:hanging="0" w:start="360" w:end="0"/>
        <w:rPr/>
      </w:pPr>
      <w:r>
        <w:rPr>
          <w:b/>
          <w:bCs/>
        </w:rPr>
        <w:t xml:space="preserve">STSC will </w:t>
      </w:r>
      <w:r>
        <w:rPr>
          <w:b/>
          <w:bCs/>
          <w:u w:val="single"/>
        </w:rPr>
        <w:t>not</w:t>
      </w:r>
      <w:r>
        <w:rPr>
          <w:b/>
          <w:bCs/>
        </w:rPr>
        <w:t xml:space="preserve"> be sold on a firm basis until it has been posted for at least:</w:t>
      </w:r>
    </w:p>
    <w:p>
      <w:pPr>
        <w:pStyle w:val="Normal"/>
        <w:numPr>
          <w:ilvl w:val="0"/>
          <w:numId w:val="3"/>
        </w:numPr>
        <w:tabs>
          <w:tab w:val="clear" w:pos="720"/>
          <w:tab w:val="left" w:pos="1080" w:leader="none"/>
        </w:tabs>
        <w:ind w:hanging="360" w:start="1080" w:end="0"/>
        <w:rPr>
          <w:rFonts w:ascii="Arial" w:hAnsi="Arial" w:cs="Arial"/>
          <w:b/>
        </w:rPr>
      </w:pPr>
      <w:r>
        <w:rPr>
          <w:rFonts w:cs="Arial" w:ascii="Arial" w:hAnsi="Arial"/>
          <w:b/>
        </w:rPr>
        <w:t>1 business day for capacity available for 1 to 5 months.</w:t>
      </w:r>
    </w:p>
    <w:p>
      <w:pPr>
        <w:pStyle w:val="BodyTextIndent"/>
        <w:ind w:hanging="0" w:start="0" w:end="0"/>
        <w:rPr>
          <w:rFonts w:ascii="Arial" w:hAnsi="Arial" w:cs="Arial"/>
          <w:b/>
        </w:rPr>
      </w:pPr>
      <w:r>
        <w:rPr>
          <w:rFonts w:cs="Arial" w:ascii="Arial" w:hAnsi="Arial"/>
          <w:b/>
        </w:rPr>
      </w:r>
    </w:p>
    <w:p>
      <w:pPr>
        <w:pStyle w:val="BodyTextIndent"/>
        <w:ind w:hanging="0" w:start="0" w:end="0"/>
        <w:rPr/>
      </w:pPr>
      <w:r>
        <w:rPr/>
        <w:t xml:space="preserve">Omaha Planning and Gas Control will determine a level of STSC which has an expectation to flow over a certain period of time.  Northern will post the groups and/or points that may have available STSC.  The posting will include the volume and term.  The Unsubscribed Short-Term Capacity Report should be posted by 9:00 a.m. when such capacity is available.  After the minimum posting period, such capacity can be advertised on </w:t>
      </w:r>
      <w:r>
        <w:rPr>
          <w:i/>
          <w:iCs/>
        </w:rPr>
        <w:t xml:space="preserve">EnronOnline </w:t>
      </w:r>
      <w:r>
        <w:rPr/>
        <w:t xml:space="preserve">or sold by Marketing.  This report is located on </w:t>
      </w:r>
      <w:r>
        <w:rPr>
          <w:b/>
          <w:bCs/>
          <w:i/>
          <w:iCs/>
        </w:rPr>
        <w:t>Northern’s Home Page</w:t>
      </w:r>
      <w:r>
        <w:rPr/>
        <w:t xml:space="preserve"> under </w:t>
      </w:r>
      <w:r>
        <w:rPr>
          <w:i/>
          <w:iCs/>
        </w:rPr>
        <w:t xml:space="preserve">Informational Postings, </w:t>
      </w:r>
      <w:r>
        <w:rPr/>
        <w:t>under</w:t>
      </w:r>
      <w:r>
        <w:rPr>
          <w:i/>
          <w:iCs/>
        </w:rPr>
        <w:t xml:space="preserve"> Capacity, </w:t>
      </w:r>
      <w:r>
        <w:rPr/>
        <w:t xml:space="preserve">under </w:t>
      </w:r>
      <w:r>
        <w:rPr>
          <w:i/>
          <w:iCs/>
        </w:rPr>
        <w:t>Unsubscribed Capacity</w:t>
      </w:r>
      <w:r>
        <w:rPr/>
        <w:t>.</w:t>
      </w:r>
    </w:p>
    <w:p>
      <w:pPr>
        <w:pStyle w:val="BodyTextIndent"/>
        <w:ind w:hanging="0" w:start="360" w:end="0"/>
        <w:rPr/>
      </w:pPr>
      <w:r>
        <w:rPr/>
      </w:r>
    </w:p>
    <w:p>
      <w:pPr>
        <w:pStyle w:val="BodyTextIndent"/>
        <w:ind w:hanging="0" w:start="360" w:end="0"/>
        <w:rPr/>
      </w:pPr>
      <w:r>
        <w:rPr>
          <w:u w:val="single"/>
        </w:rPr>
        <w:t>Unsubscribed Short-Term Capacity Report:</w:t>
      </w:r>
      <w:r>
        <w:rPr/>
        <w:t xml:space="preserve"> – This report reflects the Unsubscribed Short-Term Capacity including specified groups and/or points, the available firm volume, and the period of time such capacity is available.  Other information regarding this report:</w:t>
      </w:r>
    </w:p>
    <w:p>
      <w:pPr>
        <w:pStyle w:val="BodyTextIndent"/>
        <w:numPr>
          <w:ilvl w:val="0"/>
          <w:numId w:val="7"/>
        </w:numPr>
        <w:rPr/>
      </w:pPr>
      <w:r>
        <w:rPr/>
        <w:t>Includes capacity that is available for greater than one month but less than 150 consecutive days.</w:t>
      </w:r>
    </w:p>
    <w:p>
      <w:pPr>
        <w:pStyle w:val="BodyTextIndent"/>
        <w:numPr>
          <w:ilvl w:val="0"/>
          <w:numId w:val="7"/>
        </w:numPr>
        <w:rPr/>
      </w:pPr>
      <w:r>
        <w:rPr/>
        <w:t>Indicates with an asterisk at which points or groups Daily Capacity may be available, and will also direct interested parties to the Unsubscribed Daily Capacity Report for additional information.</w:t>
      </w:r>
    </w:p>
    <w:p>
      <w:pPr>
        <w:pStyle w:val="BodyTextIndent"/>
        <w:numPr>
          <w:ilvl w:val="0"/>
          <w:numId w:val="7"/>
        </w:numPr>
        <w:rPr/>
      </w:pPr>
      <w:r>
        <w:rPr/>
        <w:t xml:space="preserve">This report is </w:t>
      </w:r>
      <w:r>
        <w:rPr>
          <w:u w:val="single"/>
        </w:rPr>
        <w:t>not</w:t>
      </w:r>
      <w:r>
        <w:rPr/>
        <w:t xml:space="preserve"> downloadable or available in an EDI format.</w:t>
      </w:r>
    </w:p>
    <w:p>
      <w:pPr>
        <w:pStyle w:val="Normal"/>
        <w:jc w:val="both"/>
        <w:rPr>
          <w:sz w:val="24"/>
        </w:rPr>
      </w:pPr>
      <w:r>
        <w:rPr>
          <w:sz w:val="24"/>
        </w:rPr>
      </w:r>
    </w:p>
    <w:p>
      <w:pPr>
        <w:pStyle w:val="Normal"/>
        <w:jc w:val="both"/>
        <w:rPr>
          <w:sz w:val="24"/>
        </w:rPr>
      </w:pPr>
      <w:r>
        <w:rPr>
          <w:sz w:val="24"/>
        </w:rPr>
      </w:r>
    </w:p>
    <w:p>
      <w:pPr>
        <w:pStyle w:val="Heading4"/>
        <w:ind w:hanging="0" w:start="0"/>
        <w:rPr>
          <w:b w:val="false"/>
          <w:bCs w:val="false"/>
          <w:u w:val="none"/>
        </w:rPr>
      </w:pPr>
      <w:r>
        <w:rPr/>
        <w:t>Daily Capacity</w:t>
      </w:r>
      <w:r>
        <w:rPr>
          <w:u w:val="none"/>
        </w:rPr>
        <w:t xml:space="preserve"> – </w:t>
      </w:r>
    </w:p>
    <w:p>
      <w:pPr>
        <w:pStyle w:val="Normal"/>
        <w:jc w:val="both"/>
        <w:rPr>
          <w:b/>
          <w:bCs/>
          <w:sz w:val="24"/>
          <w:u w:val="none"/>
        </w:rPr>
      </w:pPr>
      <w:r>
        <w:rPr>
          <w:b/>
          <w:bCs/>
          <w:sz w:val="24"/>
          <w:u w:val="none"/>
        </w:rPr>
      </w:r>
    </w:p>
    <w:p>
      <w:pPr>
        <w:pStyle w:val="Heading7"/>
        <w:keepNext w:val="false"/>
        <w:ind w:start="0" w:end="0"/>
        <w:rPr/>
      </w:pPr>
      <w:r>
        <w:rPr/>
        <w:t xml:space="preserve">Definition – </w:t>
      </w:r>
      <w:r>
        <w:rPr>
          <w:b w:val="false"/>
          <w:bCs w:val="false"/>
        </w:rPr>
        <w:t xml:space="preserve">Short Term Sustainable Capacity that is available to sell firm for day-to-day transactions for a period less than one month.  Daily Capacity is determined to be available at certain times based upon varying operating conditions that occur on the system, portion(s) of the system, or at a point on the system.  Daily Capacity is </w:t>
      </w:r>
      <w:r>
        <w:rPr>
          <w:b w:val="false"/>
          <w:bCs w:val="false"/>
          <w:u w:val="single"/>
        </w:rPr>
        <w:t>not</w:t>
      </w:r>
      <w:r>
        <w:rPr>
          <w:b w:val="false"/>
          <w:bCs w:val="false"/>
        </w:rPr>
        <w:t xml:space="preserve"> available to sell and will </w:t>
      </w:r>
      <w:r>
        <w:rPr>
          <w:b w:val="false"/>
          <w:bCs w:val="false"/>
          <w:u w:val="single"/>
        </w:rPr>
        <w:t>not</w:t>
      </w:r>
      <w:r>
        <w:rPr>
          <w:b w:val="false"/>
          <w:bCs w:val="false"/>
        </w:rPr>
        <w:t xml:space="preserve"> be posted unless effective LTSC and STSC for more than 30 days has been sold out.</w:t>
      </w:r>
    </w:p>
    <w:p>
      <w:pPr>
        <w:pStyle w:val="BodyTextIndent"/>
        <w:rPr>
          <w:b/>
          <w:bCs/>
        </w:rPr>
      </w:pPr>
      <w:r>
        <w:rPr>
          <w:b/>
          <w:bCs/>
        </w:rPr>
      </w:r>
    </w:p>
    <w:p>
      <w:pPr>
        <w:pStyle w:val="BodyTextIndent"/>
        <w:ind w:hanging="0" w:start="0" w:end="0"/>
        <w:rPr>
          <w:b/>
          <w:bCs/>
        </w:rPr>
      </w:pPr>
      <w:r>
        <w:rPr>
          <w:b/>
          <w:bCs/>
        </w:rPr>
        <w:t xml:space="preserve">Posting Information and Requirements – </w:t>
      </w:r>
      <w:r>
        <w:rPr/>
        <w:t>After the minimum posting period set forth below, Northern will evaluate any bids, award the capacity based on the bid evaluation methodology set forth in General Information (under paragraph 5) below, notify unsuccessful bidders and tender an agreement.  No agreements will be tendered or bids accepted until the capacity has been posted for the required time period and completion of the bid evaluation process.</w:t>
      </w:r>
      <w:r>
        <w:rPr>
          <w:bCs/>
        </w:rPr>
        <w:t xml:space="preserve">  Northern is not required to execute any contract for service at less than maximum rates.</w:t>
      </w:r>
    </w:p>
    <w:p>
      <w:pPr>
        <w:pStyle w:val="BodyTextIndent"/>
        <w:ind w:hanging="0" w:start="0" w:end="0"/>
        <w:rPr>
          <w:b/>
          <w:bCs/>
        </w:rPr>
      </w:pPr>
      <w:r>
        <w:rPr>
          <w:b/>
          <w:bCs/>
        </w:rPr>
      </w:r>
    </w:p>
    <w:p>
      <w:pPr>
        <w:pStyle w:val="BodyTextIndent"/>
        <w:keepNext w:val="true"/>
        <w:keepLines/>
        <w:ind w:hanging="0" w:start="0" w:end="0"/>
        <w:rPr/>
      </w:pPr>
      <w:r>
        <w:rPr/>
        <w:t xml:space="preserve">Northern will post the points or groups at which Daily Capacity may be available on the STSC Report.  Such points or groups must be identified with an asterisk (*) on the STSC Report </w:t>
      </w:r>
      <w:r>
        <w:rPr>
          <w:u w:val="single"/>
        </w:rPr>
        <w:t>at least one business day</w:t>
      </w:r>
      <w:r>
        <w:rPr/>
        <w:t xml:space="preserve"> before they are posted on the Unsubscribed Daily Capacity Report.  </w:t>
      </w:r>
    </w:p>
    <w:p>
      <w:pPr>
        <w:pStyle w:val="BodyTextIndent"/>
        <w:keepNext w:val="true"/>
        <w:keepLines/>
        <w:ind w:hanging="0" w:start="0" w:end="0"/>
        <w:rPr/>
      </w:pPr>
      <w:r>
        <w:rPr/>
      </w:r>
    </w:p>
    <w:p>
      <w:pPr>
        <w:pStyle w:val="Normal"/>
        <w:keepNext w:val="true"/>
        <w:keepLines/>
        <w:jc w:val="center"/>
        <w:rPr>
          <w:rFonts w:ascii="Arial" w:hAnsi="Arial" w:cs="Arial"/>
          <w:b/>
          <w:sz w:val="24"/>
        </w:rPr>
      </w:pPr>
      <w:r>
        <w:rPr>
          <w:b/>
          <w:bCs/>
          <w:sz w:val="24"/>
        </w:rPr>
        <w:t xml:space="preserve">Daily Capacity will </w:t>
      </w:r>
      <w:r>
        <w:rPr>
          <w:b/>
          <w:bCs/>
          <w:sz w:val="24"/>
          <w:u w:val="single"/>
        </w:rPr>
        <w:t>not</w:t>
      </w:r>
      <w:r>
        <w:rPr>
          <w:b/>
          <w:bCs/>
          <w:sz w:val="24"/>
        </w:rPr>
        <w:t xml:space="preserve"> be sold on a firm basis until it has been posted for at least 1 hour.</w:t>
      </w:r>
    </w:p>
    <w:p>
      <w:pPr>
        <w:pStyle w:val="BodyTextIndent"/>
        <w:ind w:hanging="0" w:start="0" w:end="0"/>
        <w:rPr>
          <w:rFonts w:ascii="Arial" w:hAnsi="Arial" w:cs="Arial"/>
          <w:b/>
          <w:sz w:val="24"/>
        </w:rPr>
      </w:pPr>
      <w:r>
        <w:rPr>
          <w:rFonts w:cs="Arial" w:ascii="Arial" w:hAnsi="Arial"/>
          <w:b/>
          <w:sz w:val="24"/>
        </w:rPr>
      </w:r>
    </w:p>
    <w:p>
      <w:pPr>
        <w:pStyle w:val="BodyTextIndent"/>
        <w:ind w:hanging="0" w:start="0" w:end="0"/>
        <w:rPr/>
      </w:pPr>
      <w:r>
        <w:rPr/>
        <w:t xml:space="preserve">Northern will post any available Daily Capacity separately from its other STSC on its website.  Omaha Planning and Gas Control will determine each morning whether any Daily Capacity is available for the next gas day.  The groups and/or points where Daily Capacity is available will be posted on the Unsubscribed Daily Capacity Report on the website by 8:30 a.m. each day.  After the minimum 1 hour posting period, such capacity can be advertised on </w:t>
      </w:r>
      <w:r>
        <w:rPr>
          <w:i/>
          <w:iCs/>
        </w:rPr>
        <w:t xml:space="preserve">EnronOnline </w:t>
      </w:r>
      <w:r>
        <w:rPr/>
        <w:t xml:space="preserve">or sold by Marketing.  This timing allows for timely nominations at 11:30 a.m. each day.  The </w:t>
      </w:r>
      <w:r>
        <w:rPr>
          <w:i/>
          <w:iCs/>
        </w:rPr>
        <w:t>Unsubscribed Daily Capacity Report</w:t>
      </w:r>
      <w:r>
        <w:rPr/>
        <w:t xml:space="preserve"> is located on </w:t>
      </w:r>
      <w:r>
        <w:rPr>
          <w:b/>
          <w:bCs/>
          <w:i/>
          <w:iCs/>
        </w:rPr>
        <w:t>Northern’s Home Page</w:t>
      </w:r>
      <w:r>
        <w:rPr/>
        <w:t xml:space="preserve"> under </w:t>
      </w:r>
      <w:r>
        <w:rPr>
          <w:i/>
          <w:iCs/>
        </w:rPr>
        <w:t xml:space="preserve">Informational Postings, </w:t>
      </w:r>
      <w:r>
        <w:rPr/>
        <w:t>under</w:t>
      </w:r>
      <w:r>
        <w:rPr>
          <w:i/>
          <w:iCs/>
        </w:rPr>
        <w:t xml:space="preserve"> Capacity, </w:t>
      </w:r>
      <w:r>
        <w:rPr/>
        <w:t xml:space="preserve">under </w:t>
      </w:r>
      <w:r>
        <w:rPr>
          <w:i/>
          <w:iCs/>
        </w:rPr>
        <w:t>Unsubscribed Capacity</w:t>
      </w:r>
      <w:r>
        <w:rPr/>
        <w:t>.</w:t>
      </w:r>
    </w:p>
    <w:p>
      <w:pPr>
        <w:pStyle w:val="BodyTextIndent"/>
        <w:ind w:hanging="0" w:start="360" w:end="0"/>
        <w:rPr/>
      </w:pPr>
      <w:r>
        <w:rPr/>
      </w:r>
    </w:p>
    <w:p>
      <w:pPr>
        <w:pStyle w:val="BodyTextIndent"/>
        <w:ind w:hanging="0" w:start="360" w:end="0"/>
        <w:rPr/>
      </w:pPr>
      <w:r>
        <w:rPr>
          <w:u w:val="single"/>
        </w:rPr>
        <w:t>Unsubscribed Daily Capacity Report:</w:t>
      </w:r>
      <w:r>
        <w:rPr/>
        <w:t xml:space="preserve"> – This report reflects the Unsubscribed Daily Capacity for a rolling 30-day period including specified groups and/or points, the available firm volume, and the number of days the capacity is available.  Other information regarding this report:</w:t>
      </w:r>
    </w:p>
    <w:p>
      <w:pPr>
        <w:pStyle w:val="BodyTextIndent"/>
        <w:numPr>
          <w:ilvl w:val="0"/>
          <w:numId w:val="7"/>
        </w:numPr>
        <w:rPr/>
      </w:pPr>
      <w:r>
        <w:rPr/>
        <w:t>Includes capacity that is available for less than 30 consecutive days.</w:t>
      </w:r>
    </w:p>
    <w:p>
      <w:pPr>
        <w:pStyle w:val="BodyTextIndent"/>
        <w:numPr>
          <w:ilvl w:val="0"/>
          <w:numId w:val="7"/>
        </w:numPr>
        <w:rPr/>
      </w:pPr>
      <w:r>
        <w:rPr/>
        <w:t xml:space="preserve">The report does </w:t>
      </w:r>
      <w:r>
        <w:rPr>
          <w:u w:val="single"/>
        </w:rPr>
        <w:t>not</w:t>
      </w:r>
      <w:r>
        <w:rPr/>
        <w:t xml:space="preserve"> identify newly available capacity.</w:t>
      </w:r>
    </w:p>
    <w:p>
      <w:pPr>
        <w:pStyle w:val="BodyTextIndent"/>
        <w:numPr>
          <w:ilvl w:val="0"/>
          <w:numId w:val="7"/>
        </w:numPr>
        <w:rPr/>
      </w:pPr>
      <w:r>
        <w:rPr/>
        <w:t xml:space="preserve">This report is </w:t>
      </w:r>
      <w:r>
        <w:rPr>
          <w:u w:val="single"/>
        </w:rPr>
        <w:t>not</w:t>
      </w:r>
      <w:r>
        <w:rPr/>
        <w:t xml:space="preserve"> downloadable or available in an EDI format.</w:t>
      </w:r>
    </w:p>
    <w:p>
      <w:pPr>
        <w:pStyle w:val="Normal"/>
        <w:jc w:val="both"/>
        <w:rPr>
          <w:sz w:val="24"/>
        </w:rPr>
      </w:pPr>
      <w:r>
        <w:rPr>
          <w:sz w:val="24"/>
        </w:rPr>
      </w:r>
    </w:p>
    <w:p>
      <w:pPr>
        <w:pStyle w:val="BodyText"/>
        <w:rPr/>
      </w:pPr>
      <w:r>
        <w:rPr/>
        <w:t>A TFX agreement will be utilized for day-to-day transactions.  For administrative ease, a shipper may retain the same contract number.  Northern may extend the TFX agreement and/or amend the MDQ for those days that all or a portion of the capacity is available during the month.  However, a contract cannot be extended until the specific capacity has been posted and awarded. Each month requires a new contract.</w:t>
      </w:r>
    </w:p>
    <w:p>
      <w:pPr>
        <w:pStyle w:val="BodyText"/>
        <w:rPr/>
      </w:pPr>
      <w:r>
        <w:rPr/>
      </w:r>
    </w:p>
    <w:p>
      <w:pPr>
        <w:pStyle w:val="BodyText"/>
        <w:rPr/>
      </w:pPr>
      <w:r>
        <w:rPr/>
      </w:r>
    </w:p>
    <w:p>
      <w:pPr>
        <w:pStyle w:val="Normal"/>
        <w:jc w:val="both"/>
        <w:rPr/>
      </w:pPr>
      <w:r>
        <w:rPr>
          <w:b/>
          <w:bCs/>
          <w:sz w:val="24"/>
          <w:u w:val="single"/>
        </w:rPr>
        <w:t>Operationally Available Capacity</w:t>
      </w:r>
      <w:r>
        <w:rPr>
          <w:sz w:val="24"/>
        </w:rPr>
        <w:t xml:space="preserve"> – </w:t>
      </w:r>
    </w:p>
    <w:p>
      <w:pPr>
        <w:pStyle w:val="Normal"/>
        <w:jc w:val="both"/>
        <w:rPr>
          <w:sz w:val="24"/>
        </w:rPr>
      </w:pPr>
      <w:r>
        <w:rPr>
          <w:sz w:val="24"/>
        </w:rPr>
      </w:r>
    </w:p>
    <w:p>
      <w:pPr>
        <w:pStyle w:val="Heading7"/>
        <w:ind w:start="0" w:end="0"/>
        <w:rPr/>
      </w:pPr>
      <w:r>
        <w:rPr/>
        <w:t xml:space="preserve">Definition – </w:t>
      </w:r>
      <w:r>
        <w:rPr>
          <w:b w:val="false"/>
          <w:bCs w:val="false"/>
        </w:rPr>
        <w:t>The total operationally available capacity is the level of capacity available to be scheduled by point for the current gas day.  Operationally available capacity is the difference between the total operational capacity and that capacity that has been scheduled for the gas day.</w:t>
      </w:r>
    </w:p>
    <w:p>
      <w:pPr>
        <w:pStyle w:val="BodyTextIndent"/>
        <w:rPr>
          <w:b/>
          <w:bCs/>
        </w:rPr>
      </w:pPr>
      <w:r>
        <w:rPr>
          <w:b/>
          <w:bCs/>
        </w:rPr>
      </w:r>
    </w:p>
    <w:p>
      <w:pPr>
        <w:pStyle w:val="Normal"/>
        <w:rPr/>
      </w:pPr>
      <w:r>
        <w:rPr>
          <w:b/>
          <w:bCs/>
          <w:sz w:val="24"/>
        </w:rPr>
        <w:t>Posting Information and Requirements</w:t>
      </w:r>
      <w:r>
        <w:rPr>
          <w:sz w:val="24"/>
        </w:rPr>
        <w:t xml:space="preserve"> –Northern will post on its website the following report regarding operationally available capacity.  This report is updated throughout the day.  This report is located on </w:t>
      </w:r>
      <w:r>
        <w:rPr>
          <w:b/>
          <w:bCs/>
          <w:i/>
          <w:iCs/>
          <w:sz w:val="24"/>
        </w:rPr>
        <w:t>Northern’s Home Page</w:t>
      </w:r>
      <w:r>
        <w:rPr>
          <w:sz w:val="24"/>
        </w:rPr>
        <w:t xml:space="preserve"> under </w:t>
      </w:r>
      <w:r>
        <w:rPr>
          <w:i/>
          <w:iCs/>
          <w:sz w:val="24"/>
        </w:rPr>
        <w:t xml:space="preserve">Informational Postings, </w:t>
      </w:r>
      <w:r>
        <w:rPr>
          <w:sz w:val="24"/>
        </w:rPr>
        <w:t>under</w:t>
      </w:r>
      <w:r>
        <w:rPr>
          <w:i/>
          <w:iCs/>
          <w:sz w:val="24"/>
        </w:rPr>
        <w:t xml:space="preserve"> Capacity, </w:t>
      </w:r>
      <w:r>
        <w:rPr>
          <w:sz w:val="24"/>
        </w:rPr>
        <w:t xml:space="preserve">under </w:t>
      </w:r>
      <w:r>
        <w:rPr>
          <w:i/>
          <w:iCs/>
          <w:sz w:val="24"/>
        </w:rPr>
        <w:t>Operationally Available Capacity</w:t>
      </w:r>
      <w:r>
        <w:rPr>
          <w:sz w:val="24"/>
        </w:rPr>
        <w:t>.</w:t>
      </w:r>
    </w:p>
    <w:p>
      <w:pPr>
        <w:pStyle w:val="BodyTextIndent"/>
        <w:ind w:hanging="0" w:start="360" w:end="0"/>
        <w:rPr>
          <w:sz w:val="24"/>
        </w:rPr>
      </w:pPr>
      <w:r>
        <w:rPr>
          <w:sz w:val="24"/>
        </w:rPr>
      </w:r>
    </w:p>
    <w:p>
      <w:pPr>
        <w:pStyle w:val="BodyTextIndent"/>
        <w:ind w:hanging="0" w:start="360" w:end="0"/>
        <w:rPr/>
      </w:pPr>
      <w:r>
        <w:rPr>
          <w:u w:val="single"/>
        </w:rPr>
        <w:t>Operationally Available Capacity Report:</w:t>
      </w:r>
      <w:r>
        <w:rPr/>
        <w:t xml:space="preserve"> – This report reflects the operationally available capacity at all receipt and delivery points listed in Northern’s point catalog for the current gas day.  This report shows the difference between the total level of operational capacity at a point and the amount already scheduled at that point.  Other information regarding this report:</w:t>
      </w:r>
    </w:p>
    <w:p>
      <w:pPr>
        <w:pStyle w:val="BodyTextIndent"/>
        <w:numPr>
          <w:ilvl w:val="0"/>
          <w:numId w:val="2"/>
        </w:numPr>
        <w:tabs>
          <w:tab w:val="left" w:pos="720" w:leader="none"/>
        </w:tabs>
        <w:ind w:hanging="360" w:start="1080" w:end="0"/>
        <w:rPr/>
      </w:pPr>
      <w:r>
        <w:rPr/>
        <w:t xml:space="preserve">The initial operational capacity is determined by Gas Control and </w:t>
      </w:r>
      <w:r>
        <w:rPr>
          <w:u w:val="single"/>
        </w:rPr>
        <w:t>may</w:t>
      </w:r>
      <w:r>
        <w:rPr/>
        <w:t xml:space="preserve"> be less than or greater than the LTSC for any given point.</w:t>
      </w:r>
    </w:p>
    <w:p>
      <w:pPr>
        <w:pStyle w:val="BodyTextIndent"/>
        <w:numPr>
          <w:ilvl w:val="0"/>
          <w:numId w:val="7"/>
        </w:numPr>
        <w:rPr/>
      </w:pPr>
      <w:r>
        <w:rPr/>
        <w:t>Gas Control updates this report after each nomination cycle.</w:t>
      </w:r>
    </w:p>
    <w:p>
      <w:pPr>
        <w:pStyle w:val="BodyTextIndent"/>
        <w:numPr>
          <w:ilvl w:val="0"/>
          <w:numId w:val="7"/>
        </w:numPr>
        <w:rPr/>
      </w:pPr>
      <w:r>
        <w:rPr/>
        <w:t>Indicates whether interruptible has been scheduled at a point for the gas day.</w:t>
      </w:r>
    </w:p>
    <w:p>
      <w:pPr>
        <w:pStyle w:val="BodyTextIndent"/>
        <w:numPr>
          <w:ilvl w:val="0"/>
          <w:numId w:val="7"/>
        </w:numPr>
        <w:rPr/>
      </w:pPr>
      <w:r>
        <w:rPr/>
        <w:t xml:space="preserve">The report does </w:t>
      </w:r>
      <w:r>
        <w:rPr>
          <w:u w:val="single"/>
        </w:rPr>
        <w:t>not</w:t>
      </w:r>
      <w:r>
        <w:rPr/>
        <w:t xml:space="preserve"> identify newly available capacity.</w:t>
      </w:r>
    </w:p>
    <w:p>
      <w:pPr>
        <w:pStyle w:val="BodyTextIndent"/>
        <w:numPr>
          <w:ilvl w:val="0"/>
          <w:numId w:val="7"/>
        </w:numPr>
        <w:rPr/>
      </w:pPr>
      <w:r>
        <w:rPr/>
        <w:t xml:space="preserve">This report is downloadable but is </w:t>
      </w:r>
      <w:r>
        <w:rPr>
          <w:u w:val="single"/>
        </w:rPr>
        <w:t>not</w:t>
      </w:r>
      <w:r>
        <w:rPr/>
        <w:t xml:space="preserve"> available in an EDI format.</w:t>
      </w:r>
    </w:p>
    <w:p>
      <w:pPr>
        <w:pStyle w:val="Normal"/>
        <w:jc w:val="both"/>
        <w:rPr>
          <w:sz w:val="24"/>
        </w:rPr>
      </w:pPr>
      <w:r>
        <w:rPr>
          <w:sz w:val="24"/>
        </w:rPr>
      </w:r>
    </w:p>
    <w:p>
      <w:pPr>
        <w:pStyle w:val="Normal"/>
        <w:jc w:val="both"/>
        <w:rPr>
          <w:sz w:val="24"/>
        </w:rPr>
      </w:pPr>
      <w:r>
        <w:rPr>
          <w:sz w:val="24"/>
        </w:rPr>
      </w:r>
    </w:p>
    <w:p>
      <w:pPr>
        <w:pStyle w:val="BodyTextIndent2"/>
        <w:ind w:start="0" w:end="0"/>
        <w:rPr/>
      </w:pPr>
      <w:r>
        <w:rPr>
          <w:b/>
          <w:bCs/>
          <w:u w:val="single"/>
        </w:rPr>
        <w:t>General outline for capacity reports located on Northern’s Website</w:t>
      </w:r>
      <w:r>
        <w:rPr>
          <w:b/>
          <w:bCs/>
        </w:rPr>
        <w:t>:</w:t>
      </w:r>
    </w:p>
    <w:p>
      <w:pPr>
        <w:pStyle w:val="BodyTextIndent2"/>
        <w:ind w:start="0" w:end="0"/>
        <w:rPr>
          <w:b/>
          <w:bCs/>
        </w:rPr>
      </w:pPr>
      <w:r>
        <w:rPr>
          <w:b/>
          <w:bCs/>
        </w:rPr>
      </w:r>
    </w:p>
    <w:p>
      <w:pPr>
        <w:pStyle w:val="BodyTextIndent2"/>
        <w:ind w:start="0" w:end="0"/>
        <w:rPr>
          <w:b/>
          <w:bCs/>
        </w:rPr>
      </w:pPr>
      <w:r>
        <w:rPr>
          <w:b/>
          <w:bCs/>
        </w:rPr>
        <w:t>Informational Postings</w:t>
      </w:r>
    </w:p>
    <w:p>
      <w:pPr>
        <w:pStyle w:val="BodyTextIndent2"/>
        <w:numPr>
          <w:ilvl w:val="0"/>
          <w:numId w:val="6"/>
        </w:numPr>
        <w:rPr/>
      </w:pPr>
      <w:r>
        <w:rPr/>
        <w:t>Capacity</w:t>
      </w:r>
    </w:p>
    <w:p>
      <w:pPr>
        <w:pStyle w:val="BodyTextIndent2"/>
        <w:numPr>
          <w:ilvl w:val="1"/>
          <w:numId w:val="6"/>
        </w:numPr>
        <w:rPr/>
      </w:pPr>
      <w:r>
        <w:rPr/>
        <w:t>Operationally Available Capacity (current gas day)</w:t>
      </w:r>
    </w:p>
    <w:p>
      <w:pPr>
        <w:pStyle w:val="BodyTextIndent2"/>
        <w:numPr>
          <w:ilvl w:val="1"/>
          <w:numId w:val="6"/>
        </w:numPr>
        <w:rPr/>
      </w:pPr>
      <w:r>
        <w:rPr/>
        <w:t>Unsubscribed Capacity</w:t>
      </w:r>
    </w:p>
    <w:p>
      <w:pPr>
        <w:pStyle w:val="BodyTextIndent2"/>
        <w:numPr>
          <w:ilvl w:val="2"/>
          <w:numId w:val="6"/>
        </w:numPr>
        <w:rPr/>
      </w:pPr>
      <w:r>
        <w:rPr/>
        <w:t>Unsubscribed Capacity by Point (includes LTSC &amp; STSC by point &amp; group; two (2) days in the future, available in EDI format)</w:t>
      </w:r>
    </w:p>
    <w:p>
      <w:pPr>
        <w:pStyle w:val="BodyTextIndent2"/>
        <w:numPr>
          <w:ilvl w:val="2"/>
          <w:numId w:val="6"/>
        </w:numPr>
        <w:rPr/>
      </w:pPr>
      <w:r>
        <w:rPr/>
        <w:t>Long Term Unsubscribed Capacity by Point &amp; Group (rolling 13 months)</w:t>
      </w:r>
    </w:p>
    <w:p>
      <w:pPr>
        <w:pStyle w:val="BodyTextIndent2"/>
        <w:numPr>
          <w:ilvl w:val="2"/>
          <w:numId w:val="6"/>
        </w:numPr>
        <w:rPr/>
      </w:pPr>
      <w:r>
        <w:rPr/>
        <w:t xml:space="preserve">Unsubscribed Short-Term Capacity </w:t>
      </w:r>
    </w:p>
    <w:p>
      <w:pPr>
        <w:pStyle w:val="BodyTextIndent2"/>
        <w:numPr>
          <w:ilvl w:val="2"/>
          <w:numId w:val="6"/>
        </w:numPr>
        <w:rPr/>
      </w:pPr>
      <w:r>
        <w:rPr/>
        <w:t>Unsubscribed Daily Capacity (rolling 30 days)</w:t>
      </w:r>
    </w:p>
    <w:p>
      <w:pPr>
        <w:pStyle w:val="BodyTextIndent2"/>
        <w:numPr>
          <w:ilvl w:val="1"/>
          <w:numId w:val="6"/>
        </w:numPr>
        <w:rPr/>
      </w:pPr>
      <w:r>
        <w:rPr/>
        <w:t>Design Capacity (by point)</w:t>
      </w:r>
    </w:p>
    <w:p>
      <w:pPr>
        <w:pStyle w:val="BodyTextIndent2"/>
        <w:numPr>
          <w:ilvl w:val="1"/>
          <w:numId w:val="6"/>
        </w:numPr>
        <w:rPr/>
      </w:pPr>
      <w:r>
        <w:rPr/>
        <w:t xml:space="preserve">Open Season(s) </w:t>
      </w:r>
    </w:p>
    <w:p>
      <w:pPr>
        <w:pStyle w:val="BodyTextIndent2"/>
        <w:numPr>
          <w:ilvl w:val="2"/>
          <w:numId w:val="6"/>
        </w:numPr>
        <w:rPr/>
      </w:pPr>
      <w:r>
        <w:rPr/>
        <w:t>Highlighting available LTSC or STSC</w:t>
      </w:r>
    </w:p>
    <w:p>
      <w:pPr>
        <w:pStyle w:val="BodyTextIndent2"/>
        <w:numPr>
          <w:ilvl w:val="2"/>
          <w:numId w:val="6"/>
        </w:numPr>
        <w:rPr/>
      </w:pPr>
      <w:r>
        <w:rPr/>
        <w:t>SBA</w:t>
      </w:r>
    </w:p>
    <w:p>
      <w:pPr>
        <w:pStyle w:val="BodyTextIndent2"/>
        <w:numPr>
          <w:ilvl w:val="2"/>
          <w:numId w:val="6"/>
        </w:numPr>
        <w:rPr/>
      </w:pPr>
      <w:r>
        <w:rPr/>
        <w:t>New Expansion Projects</w:t>
      </w:r>
    </w:p>
    <w:p>
      <w:pPr>
        <w:pStyle w:val="BodyTextIndent2"/>
        <w:numPr>
          <w:ilvl w:val="1"/>
          <w:numId w:val="6"/>
        </w:numPr>
        <w:rPr/>
      </w:pPr>
      <w:r>
        <w:rPr/>
        <w:t>Right of First Refusal</w:t>
      </w:r>
    </w:p>
    <w:p>
      <w:pPr>
        <w:pStyle w:val="BodyTextIndent2"/>
        <w:numPr>
          <w:ilvl w:val="1"/>
          <w:numId w:val="6"/>
        </w:numPr>
        <w:rPr/>
      </w:pPr>
      <w:r>
        <w:rPr/>
        <w:t xml:space="preserve">Marketing Notices </w:t>
      </w:r>
    </w:p>
    <w:p>
      <w:pPr>
        <w:pStyle w:val="BodyTextIndent2"/>
        <w:ind w:start="0" w:end="0"/>
        <w:rPr/>
      </w:pPr>
      <w:r>
        <w:rPr/>
      </w:r>
    </w:p>
    <w:p>
      <w:pPr>
        <w:pStyle w:val="BodyTextIndent2"/>
        <w:ind w:start="0" w:end="0"/>
        <w:rPr/>
      </w:pPr>
      <w:r>
        <w:rPr/>
      </w:r>
    </w:p>
    <w:p>
      <w:pPr>
        <w:pStyle w:val="Normal"/>
        <w:jc w:val="both"/>
        <w:rPr/>
      </w:pPr>
      <w:r>
        <w:rPr>
          <w:b/>
          <w:bCs/>
          <w:sz w:val="24"/>
          <w:u w:val="single"/>
        </w:rPr>
        <w:t>Other General Information</w:t>
      </w:r>
      <w:r>
        <w:rPr>
          <w:b/>
          <w:bCs/>
          <w:sz w:val="24"/>
        </w:rPr>
        <w:t xml:space="preserve"> – </w:t>
      </w:r>
    </w:p>
    <w:p>
      <w:pPr>
        <w:pStyle w:val="Normal"/>
        <w:jc w:val="both"/>
        <w:rPr>
          <w:b/>
          <w:bCs/>
          <w:sz w:val="24"/>
          <w:u w:val="single"/>
        </w:rPr>
      </w:pPr>
      <w:r>
        <w:rPr>
          <w:b/>
          <w:bCs/>
          <w:sz w:val="24"/>
          <w:u w:val="single"/>
        </w:rPr>
      </w:r>
    </w:p>
    <w:p>
      <w:pPr>
        <w:pStyle w:val="BodyTextIndent2"/>
        <w:numPr>
          <w:ilvl w:val="0"/>
          <w:numId w:val="4"/>
        </w:numPr>
        <w:tabs>
          <w:tab w:val="clear" w:pos="720"/>
          <w:tab w:val="left" w:pos="360" w:leader="none"/>
        </w:tabs>
        <w:ind w:hanging="360" w:start="360" w:end="0"/>
        <w:rPr/>
      </w:pPr>
      <w:r>
        <w:rPr/>
        <w:t>Omaha Planning in conjunction with Gas Control has the responsibility to determine the level of Long Term Sustainable Capacity.  Any changes whether increases or decreases to such capacity levels must be approved by the V.P. Marketing, V.P. Regulatory Affairs, and Senior Counsel (Exhibit A).</w:t>
      </w:r>
    </w:p>
    <w:p>
      <w:pPr>
        <w:pStyle w:val="BodyTextIndent2"/>
        <w:ind w:start="360" w:end="0"/>
        <w:rPr/>
      </w:pPr>
      <w:r>
        <w:rPr/>
      </w:r>
    </w:p>
    <w:p>
      <w:pPr>
        <w:pStyle w:val="BodyTextIndent2"/>
        <w:ind w:start="360" w:end="0"/>
        <w:rPr/>
      </w:pPr>
      <w:r>
        <w:rPr/>
        <w:t>There is no pre-determined level of Short Term Sustainable Capacity or Daily Capacity since its availability is based on operating conditions as they may vary from time to time.  Until agreed differently, the group or points which are eligible to market Short Term Sustainable Capacity or Daily Capacity must be approved by: V.P. Marketing, V.P. Regulatory Affairs, Senior Counsel.  Such approval shall indicate the term of the approval (Exhibit B).</w:t>
      </w:r>
    </w:p>
    <w:p>
      <w:pPr>
        <w:pStyle w:val="BodyTextIndent2"/>
        <w:ind w:start="0" w:end="0"/>
        <w:rPr/>
      </w:pPr>
      <w:r>
        <w:rPr/>
      </w:r>
    </w:p>
    <w:p>
      <w:pPr>
        <w:pStyle w:val="BodyTextIndent2"/>
        <w:ind w:start="0" w:end="0"/>
        <w:rPr/>
      </w:pPr>
      <w:r>
        <w:rPr/>
      </w:r>
    </w:p>
    <w:p>
      <w:pPr>
        <w:pStyle w:val="BodyTextIndent2"/>
        <w:numPr>
          <w:ilvl w:val="0"/>
          <w:numId w:val="4"/>
        </w:numPr>
        <w:tabs>
          <w:tab w:val="clear" w:pos="720"/>
          <w:tab w:val="left" w:pos="360" w:leader="none"/>
        </w:tabs>
        <w:ind w:hanging="360" w:start="360" w:end="0"/>
        <w:rPr/>
      </w:pPr>
      <w:r>
        <w:rPr/>
        <w:t xml:space="preserve">Pursuant to Section 26, </w:t>
      </w:r>
      <w:r>
        <w:rPr>
          <w:i/>
          <w:iCs/>
        </w:rPr>
        <w:t xml:space="preserve">Request for Throughput Service, </w:t>
      </w:r>
      <w:r>
        <w:rPr/>
        <w:t xml:space="preserve">to the extent capacity is </w:t>
      </w:r>
      <w:r>
        <w:rPr>
          <w:u w:val="single"/>
        </w:rPr>
        <w:t>not</w:t>
      </w:r>
      <w:r>
        <w:rPr/>
        <w:t xml:space="preserve"> available, requests to amend primary receipt or delivery points that cannot be fulfilled are placed in the capacity tracker.  When capacity becomes available, requests for incremental service will be given priority over requests for realignments of existing entitlement that are in the queue of the capacity tracker system.  </w:t>
      </w:r>
    </w:p>
    <w:p>
      <w:pPr>
        <w:pStyle w:val="BodyTextIndent2"/>
        <w:ind w:start="0" w:end="0"/>
        <w:rPr/>
      </w:pPr>
      <w:r>
        <w:rPr/>
      </w:r>
    </w:p>
    <w:p>
      <w:pPr>
        <w:pStyle w:val="BodyTextIndent2"/>
        <w:ind w:start="0" w:end="0"/>
        <w:rPr/>
      </w:pPr>
      <w:r>
        <w:rPr/>
      </w:r>
    </w:p>
    <w:p>
      <w:pPr>
        <w:pStyle w:val="BodyTextIndent2"/>
        <w:numPr>
          <w:ilvl w:val="0"/>
          <w:numId w:val="4"/>
        </w:numPr>
        <w:tabs>
          <w:tab w:val="clear" w:pos="720"/>
          <w:tab w:val="left" w:pos="360" w:leader="none"/>
        </w:tabs>
        <w:ind w:hanging="360" w:start="360" w:end="0"/>
        <w:rPr/>
      </w:pPr>
      <w:r>
        <w:rPr/>
        <w:t xml:space="preserve">In the event Northern wishes to market capacity that has not yet been posted on its website, Northern shall first post such capacity in a separate “special” marketing notice stating that capacity is available or post an “open season” notice prior to marketing or awarding the capacity.  This capacity will be simultaneously posted on the unsubscribed capacity reports that are systematically generated through the CAS system. </w:t>
      </w:r>
    </w:p>
    <w:p>
      <w:pPr>
        <w:pStyle w:val="BodyTextIndent2"/>
        <w:ind w:start="0" w:end="0"/>
        <w:rPr/>
      </w:pPr>
      <w:r>
        <w:rPr/>
      </w:r>
    </w:p>
    <w:p>
      <w:pPr>
        <w:pStyle w:val="BodyTextIndent2"/>
        <w:ind w:start="0" w:end="0"/>
        <w:rPr/>
      </w:pPr>
      <w:r>
        <w:rPr/>
      </w:r>
    </w:p>
    <w:p>
      <w:pPr>
        <w:pStyle w:val="BodyTextIndent2"/>
        <w:numPr>
          <w:ilvl w:val="0"/>
          <w:numId w:val="4"/>
        </w:numPr>
        <w:tabs>
          <w:tab w:val="clear" w:pos="720"/>
          <w:tab w:val="left" w:pos="360" w:leader="none"/>
        </w:tabs>
        <w:ind w:hanging="360" w:start="360" w:end="0"/>
        <w:rPr/>
      </w:pPr>
      <w:r>
        <w:rPr/>
        <w:t>(a)</w:t>
        <w:tab/>
        <w:t>At any time, Northern may issue special notices or post an open season for available capacity that has already been posted for the required time in order to draw attention to such capacity.  The open season notice may include the volume, location and term of the capacity and/or term at which Northern is willing to consider bids at less than maximum rate and the method for determining the best bid.  The posting shall state that Northern is not required to accept bids at less than maximum rates.  As the capacity has already been posted, the bid period can be a minimum of one (1) hour.</w:t>
      </w:r>
    </w:p>
    <w:p>
      <w:pPr>
        <w:pStyle w:val="BodyTextIndent2"/>
        <w:ind w:start="0" w:end="0"/>
        <w:rPr/>
      </w:pPr>
      <w:r>
        <w:rPr/>
      </w:r>
    </w:p>
    <w:p>
      <w:pPr>
        <w:pStyle w:val="BodyTextIndent2"/>
        <w:numPr>
          <w:ilvl w:val="1"/>
          <w:numId w:val="4"/>
        </w:numPr>
        <w:tabs>
          <w:tab w:val="clear" w:pos="720"/>
          <w:tab w:val="left" w:pos="360" w:leader="none"/>
        </w:tabs>
        <w:ind w:hanging="0" w:start="360" w:end="0"/>
        <w:rPr/>
      </w:pPr>
      <w:r>
        <w:rPr/>
        <w:t xml:space="preserve">Northern may also post on </w:t>
      </w:r>
      <w:r>
        <w:rPr>
          <w:i/>
          <w:iCs/>
        </w:rPr>
        <w:t>EnronOnline,</w:t>
      </w:r>
      <w:r>
        <w:rPr/>
        <w:t xml:space="preserve"> or other electronic mechanisms, capacity that has previously met the posting requirements at specific rates and terms and such capacity will be awarded on a first-come, first-served basis.</w:t>
      </w:r>
    </w:p>
    <w:p>
      <w:pPr>
        <w:pStyle w:val="BodyTextIndent2"/>
        <w:ind w:start="0" w:end="0"/>
        <w:rPr/>
      </w:pPr>
      <w:r>
        <w:rPr/>
      </w:r>
    </w:p>
    <w:p>
      <w:pPr>
        <w:pStyle w:val="BodyTextIndent2"/>
        <w:ind w:start="0" w:end="0"/>
        <w:rPr/>
      </w:pPr>
      <w:r>
        <w:rPr/>
      </w:r>
    </w:p>
    <w:p>
      <w:pPr>
        <w:pStyle w:val="BodyTextIndent2"/>
        <w:numPr>
          <w:ilvl w:val="0"/>
          <w:numId w:val="4"/>
        </w:numPr>
        <w:tabs>
          <w:tab w:val="clear" w:pos="720"/>
          <w:tab w:val="left" w:pos="360" w:leader="none"/>
        </w:tabs>
        <w:ind w:hanging="360" w:start="360" w:end="0"/>
        <w:rPr/>
      </w:pPr>
      <w:r>
        <w:rPr/>
        <w:t xml:space="preserve">The bid evaluation methodology set forth in Section 26 of Northern’s tariff will be utilized to evaluate a bid unless otherwise set forth in the posting.  In the event a bid evaluation methodology other than the tariff methodology is to be utilized in conjunction with any posting, the methodology shall be posted three days prior to the bidding in accordance with Northern’s Tariff.  In such event the three (3) days of posting will count towards the capacity posting requirements.  Unless specifically set forth in the bid methodology if bids are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 (may not apply to expansion project capacity).  The calculation method must be included in the bid evaluation methodology posting. </w:t>
      </w:r>
    </w:p>
    <w:p>
      <w:pPr>
        <w:pStyle w:val="BodyTextIndent2"/>
        <w:ind w:start="0" w:end="0"/>
        <w:rPr/>
      </w:pPr>
      <w:r>
        <w:rPr/>
      </w:r>
    </w:p>
    <w:p>
      <w:pPr>
        <w:pStyle w:val="BodyTextIndent2"/>
        <w:ind w:start="0" w:end="0"/>
        <w:rPr/>
      </w:pPr>
      <w:r>
        <w:rPr/>
      </w:r>
    </w:p>
    <w:p>
      <w:pPr>
        <w:pStyle w:val="Normal"/>
        <w:keepNext w:val="true"/>
        <w:numPr>
          <w:ilvl w:val="0"/>
          <w:numId w:val="4"/>
        </w:numPr>
        <w:tabs>
          <w:tab w:val="clear" w:pos="720"/>
          <w:tab w:val="left" w:pos="360" w:leader="none"/>
        </w:tabs>
        <w:ind w:hanging="360" w:start="360" w:end="0"/>
        <w:jc w:val="both"/>
        <w:rPr>
          <w:sz w:val="24"/>
        </w:rPr>
      </w:pPr>
      <w:r>
        <w:rPr>
          <w:b/>
          <w:bCs/>
          <w:sz w:val="24"/>
        </w:rPr>
        <w:t>ALLOCATION PROCESS</w:t>
      </w:r>
      <w:r>
        <w:rPr>
          <w:sz w:val="24"/>
        </w:rPr>
        <w:t xml:space="preserve"> -</w:t>
      </w:r>
    </w:p>
    <w:p>
      <w:pPr>
        <w:pStyle w:val="Normal"/>
        <w:keepNext w:val="true"/>
        <w:ind w:hanging="360" w:start="360" w:end="0"/>
        <w:jc w:val="both"/>
        <w:rPr>
          <w:sz w:val="24"/>
        </w:rPr>
      </w:pPr>
      <w:r>
        <w:rPr>
          <w:sz w:val="24"/>
        </w:rPr>
      </w:r>
    </w:p>
    <w:p>
      <w:pPr>
        <w:pStyle w:val="Normal"/>
        <w:keepNext w:val="true"/>
        <w:ind w:start="360" w:end="0"/>
        <w:jc w:val="both"/>
        <w:rPr>
          <w:b/>
          <w:bCs/>
          <w:sz w:val="24"/>
        </w:rPr>
      </w:pPr>
      <w:r>
        <w:rPr>
          <w:b/>
          <w:sz w:val="24"/>
          <w:u w:val="single"/>
        </w:rPr>
        <w:t>During Scheduling Process</w:t>
      </w:r>
      <w:r>
        <w:rPr>
          <w:sz w:val="24"/>
        </w:rPr>
        <w:t xml:space="preserve"> - On each day Northern will first schedule Primary Firm (including that subscribed for Short Term Sustainable Capacity and Daily Capacity), then Alternate Firm and finally TI (by price).  On days that it has been determined that Daily Capacity is available and the TFX agreements for such capacity have been entered into, Northern will not schedule Alternate Firm above the combined level of Long Term Sustainable, Short Term Sustainable Capacity and Daily Capacity.  </w:t>
      </w:r>
    </w:p>
    <w:p>
      <w:pPr>
        <w:pStyle w:val="Normal"/>
        <w:ind w:hanging="360" w:start="360" w:end="0"/>
        <w:jc w:val="both"/>
        <w:rPr>
          <w:b/>
          <w:bCs/>
          <w:sz w:val="24"/>
        </w:rPr>
      </w:pPr>
      <w:r>
        <w:rPr>
          <w:b/>
          <w:bCs/>
          <w:sz w:val="24"/>
        </w:rPr>
      </w:r>
    </w:p>
    <w:p>
      <w:pPr>
        <w:pStyle w:val="BodyTextIndent2"/>
        <w:ind w:start="360" w:end="0"/>
        <w:rPr/>
      </w:pPr>
      <w:r>
        <w:rPr>
          <w:b/>
          <w:u w:val="single"/>
        </w:rPr>
        <w:t>During Curtailment Process</w:t>
      </w:r>
      <w:r>
        <w:rPr/>
        <w:t xml:space="preserve"> (after gas is scheduled) - In the event of curtailment, Northern shall first cut TI (by price) followed by Alternate and Primary Firm (LTSC, STSC and Daily Capacity) on a pro rata basis.</w:t>
      </w:r>
    </w:p>
    <w:p>
      <w:pPr>
        <w:pStyle w:val="BodyTextIndent2"/>
        <w:ind w:start="0" w:end="0"/>
        <w:rPr/>
      </w:pPr>
      <w:r>
        <w:rPr/>
      </w:r>
    </w:p>
    <w:p>
      <w:pPr>
        <w:sectPr>
          <w:headerReference w:type="default" r:id="rId2"/>
          <w:footerReference w:type="default" r:id="rId3"/>
          <w:footnotePr>
            <w:numFmt w:val="decimal"/>
          </w:footnotePr>
          <w:type w:val="nextPage"/>
          <w:pgSz w:w="12240" w:h="15840"/>
          <w:pgMar w:left="1440" w:right="1440" w:gutter="0" w:header="720" w:top="1440" w:footer="720" w:bottom="864"/>
          <w:pgNumType w:fmt="decimal"/>
          <w:formProt w:val="false"/>
          <w:textDirection w:val="lrTb"/>
          <w:docGrid w:type="default" w:linePitch="360" w:charSpace="0"/>
        </w:sectPr>
        <w:pStyle w:val="BodyTextIndent2"/>
        <w:ind w:start="0" w:end="0"/>
        <w:rPr/>
      </w:pPr>
      <w:r>
        <w:rPr/>
      </w:r>
    </w:p>
    <w:p>
      <w:pPr>
        <w:pStyle w:val="BodyTextIndent2"/>
        <w:ind w:start="0" w:end="0"/>
        <w:rPr/>
      </w:pPr>
      <w:r>
        <w:rPr/>
      </w:r>
    </w:p>
    <w:p>
      <w:pPr>
        <w:pStyle w:val="Normal"/>
        <w:ind w:end="-720"/>
        <w:jc w:val="center"/>
        <w:rPr>
          <w:rFonts w:ascii="Arial" w:hAnsi="Arial" w:cs="Arial"/>
          <w:b/>
          <w:sz w:val="24"/>
        </w:rPr>
      </w:pPr>
      <w:r>
        <w:rPr>
          <w:rFonts w:cs="Arial" w:ascii="Arial" w:hAnsi="Arial"/>
          <w:b/>
          <w:sz w:val="24"/>
        </w:rPr>
        <w:t>CAS - LONG TERM SUSTAINABLE CAPACITY CHANGE FORM</w:t>
      </w:r>
    </w:p>
    <w:p>
      <w:pPr>
        <w:pStyle w:val="Normal"/>
        <w:jc w:val="center"/>
        <w:rPr>
          <w:rFonts w:ascii="Arial" w:hAnsi="Arial" w:cs="Arial"/>
          <w:b/>
          <w:color w:val="000000"/>
          <w:sz w:val="24"/>
        </w:rPr>
      </w:pPr>
      <w:r>
        <w:rPr>
          <w:rFonts w:cs="Arial" w:ascii="Arial" w:hAnsi="Arial"/>
          <w:b/>
          <w:color w:val="000000"/>
          <w:sz w:val="24"/>
        </w:rPr>
      </w:r>
    </w:p>
    <w:tbl>
      <w:tblPr>
        <w:tblW w:w="3798" w:type="dxa"/>
        <w:jc w:val="start"/>
        <w:tblInd w:w="4860" w:type="dxa"/>
        <w:tblLayout w:type="fixed"/>
        <w:tblCellMar>
          <w:top w:w="0" w:type="dxa"/>
          <w:start w:w="144" w:type="dxa"/>
          <w:bottom w:w="0" w:type="dxa"/>
          <w:end w:w="144" w:type="dxa"/>
        </w:tblCellMar>
      </w:tblPr>
      <w:tblGrid>
        <w:gridCol w:w="1998"/>
        <w:gridCol w:w="1800"/>
      </w:tblGrid>
      <w:tr>
        <w:trPr>
          <w:trHeight w:val="250" w:hRule="atLeast"/>
        </w:trPr>
        <w:tc>
          <w:tcPr>
            <w:tcW w:w="1998" w:type="dxa"/>
            <w:tcBorders/>
          </w:tcPr>
          <w:p>
            <w:pPr>
              <w:pStyle w:val="Normal"/>
              <w:jc w:val="end"/>
              <w:rPr>
                <w:rFonts w:ascii="Arial" w:hAnsi="Arial" w:cs="Arial"/>
                <w:b/>
              </w:rPr>
            </w:pPr>
            <w:r>
              <w:rPr>
                <w:rFonts w:cs="Arial" w:ascii="Arial" w:hAnsi="Arial"/>
                <w:b/>
              </w:rPr>
              <w:t>Approval No:</w:t>
            </w:r>
          </w:p>
        </w:tc>
        <w:tc>
          <w:tcPr>
            <w:tcW w:w="1800" w:type="dxa"/>
            <w:tcBorders/>
          </w:tcPr>
          <w:p>
            <w:pPr>
              <w:pStyle w:val="Normal"/>
              <w:snapToGrid w:val="false"/>
              <w:rPr>
                <w:rFonts w:ascii="Arial" w:hAnsi="Arial" w:cs="Arial"/>
                <w:b/>
              </w:rPr>
            </w:pPr>
            <w:r>
              <w:rPr>
                <w:rFonts w:cs="Arial" w:ascii="Arial" w:hAnsi="Arial"/>
                <w:b/>
              </w:rPr>
            </w:r>
          </w:p>
        </w:tc>
      </w:tr>
      <w:tr>
        <w:trPr>
          <w:trHeight w:val="250" w:hRule="atLeast"/>
        </w:trPr>
        <w:tc>
          <w:tcPr>
            <w:tcW w:w="1998" w:type="dxa"/>
            <w:tcBorders/>
          </w:tcPr>
          <w:p>
            <w:pPr>
              <w:pStyle w:val="Normal"/>
              <w:jc w:val="end"/>
              <w:rPr>
                <w:rFonts w:ascii="Arial" w:hAnsi="Arial" w:cs="Arial"/>
                <w:b/>
              </w:rPr>
            </w:pPr>
            <w:r>
              <w:rPr>
                <w:rFonts w:cs="Arial" w:ascii="Arial" w:hAnsi="Arial"/>
                <w:b/>
              </w:rPr>
              <w:t>Date of Request:</w:t>
            </w:r>
          </w:p>
        </w:tc>
        <w:tc>
          <w:tcPr>
            <w:tcW w:w="1800" w:type="dxa"/>
            <w:tcBorders>
              <w:top w:val="single" w:sz="4" w:space="0" w:color="000000"/>
              <w:bottom w:val="single" w:sz="4" w:space="0" w:color="000000"/>
            </w:tcBorders>
          </w:tcPr>
          <w:p>
            <w:pPr>
              <w:pStyle w:val="Normal"/>
              <w:snapToGrid w:val="false"/>
              <w:rPr>
                <w:rFonts w:ascii="Arial" w:hAnsi="Arial" w:cs="Arial"/>
                <w:b/>
              </w:rPr>
            </w:pPr>
            <w:r>
              <w:rPr>
                <w:rFonts w:cs="Arial" w:ascii="Arial" w:hAnsi="Arial"/>
                <w:b/>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241" w:type="dxa"/>
        <w:jc w:val="start"/>
        <w:tblInd w:w="0" w:type="dxa"/>
        <w:tblLayout w:type="fixed"/>
        <w:tblCellMar>
          <w:top w:w="0" w:type="dxa"/>
          <w:start w:w="30" w:type="dxa"/>
          <w:bottom w:w="0" w:type="dxa"/>
          <w:end w:w="30" w:type="dxa"/>
        </w:tblCellMar>
      </w:tblPr>
      <w:tblGrid>
        <w:gridCol w:w="917"/>
        <w:gridCol w:w="193"/>
        <w:gridCol w:w="1980"/>
        <w:gridCol w:w="90"/>
        <w:gridCol w:w="450"/>
        <w:gridCol w:w="149"/>
        <w:gridCol w:w="2790"/>
        <w:gridCol w:w="144"/>
        <w:gridCol w:w="1080"/>
        <w:gridCol w:w="144"/>
        <w:gridCol w:w="1080"/>
        <w:gridCol w:w="144"/>
        <w:gridCol w:w="1080"/>
      </w:tblGrid>
      <w:tr>
        <w:trPr>
          <w:trHeight w:val="235" w:hRule="atLeast"/>
        </w:trPr>
        <w:tc>
          <w:tcPr>
            <w:tcW w:w="917"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POI No</w:t>
            </w:r>
          </w:p>
        </w:tc>
        <w:tc>
          <w:tcPr>
            <w:tcW w:w="193" w:type="dxa"/>
            <w:tcBorders/>
          </w:tcPr>
          <w:p>
            <w:pPr>
              <w:pStyle w:val="Normal"/>
              <w:snapToGrid w:val="false"/>
              <w:jc w:val="center"/>
              <w:rPr>
                <w:rFonts w:ascii="Arial" w:hAnsi="Arial" w:cs="Arial"/>
                <w:b/>
                <w:color w:val="000000"/>
              </w:rPr>
            </w:pPr>
            <w:r>
              <w:rPr>
                <w:rFonts w:cs="Arial" w:ascii="Arial" w:hAnsi="Arial"/>
                <w:b/>
                <w:color w:val="000000"/>
              </w:rPr>
            </w:r>
          </w:p>
        </w:tc>
        <w:tc>
          <w:tcPr>
            <w:tcW w:w="1980"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POI/Group Name</w:t>
            </w:r>
          </w:p>
        </w:tc>
        <w:tc>
          <w:tcPr>
            <w:tcW w:w="90" w:type="dxa"/>
            <w:tcBorders/>
          </w:tcPr>
          <w:p>
            <w:pPr>
              <w:pStyle w:val="Normal"/>
              <w:snapToGrid w:val="false"/>
              <w:jc w:val="center"/>
              <w:rPr>
                <w:rFonts w:ascii="Arial" w:hAnsi="Arial" w:cs="Arial"/>
                <w:b/>
                <w:color w:val="000000"/>
              </w:rPr>
            </w:pPr>
            <w:r>
              <w:rPr>
                <w:rFonts w:cs="Arial" w:ascii="Arial" w:hAnsi="Arial"/>
                <w:b/>
                <w:color w:val="000000"/>
              </w:rPr>
            </w:r>
          </w:p>
        </w:tc>
        <w:tc>
          <w:tcPr>
            <w:tcW w:w="450"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R/D</w:t>
            </w:r>
          </w:p>
        </w:tc>
        <w:tc>
          <w:tcPr>
            <w:tcW w:w="149" w:type="dxa"/>
            <w:tcBorders/>
          </w:tcPr>
          <w:p>
            <w:pPr>
              <w:pStyle w:val="Normal"/>
              <w:snapToGrid w:val="false"/>
              <w:jc w:val="center"/>
              <w:rPr>
                <w:rFonts w:ascii="Arial" w:hAnsi="Arial" w:cs="Arial"/>
                <w:b/>
                <w:color w:val="000000"/>
              </w:rPr>
            </w:pPr>
            <w:r>
              <w:rPr>
                <w:rFonts w:cs="Arial" w:ascii="Arial" w:hAnsi="Arial"/>
                <w:b/>
                <w:color w:val="000000"/>
              </w:rPr>
            </w:r>
          </w:p>
        </w:tc>
        <w:tc>
          <w:tcPr>
            <w:tcW w:w="2790"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Term or Season</w:t>
            </w:r>
          </w:p>
        </w:tc>
        <w:tc>
          <w:tcPr>
            <w:tcW w:w="144" w:type="dxa"/>
            <w:tcBorders/>
          </w:tcPr>
          <w:p>
            <w:pPr>
              <w:pStyle w:val="Normal"/>
              <w:snapToGrid w:val="false"/>
              <w:jc w:val="center"/>
              <w:rPr>
                <w:rFonts w:ascii="Arial" w:hAnsi="Arial" w:cs="Arial"/>
                <w:b/>
                <w:color w:val="000000"/>
              </w:rPr>
            </w:pPr>
            <w:r>
              <w:rPr>
                <w:rFonts w:cs="Arial" w:ascii="Arial" w:hAnsi="Arial"/>
                <w:b/>
                <w:color w:val="000000"/>
              </w:rPr>
            </w:r>
          </w:p>
        </w:tc>
        <w:tc>
          <w:tcPr>
            <w:tcW w:w="1080" w:type="dxa"/>
            <w:tcBorders>
              <w:bottom w:val="single" w:sz="4" w:space="0" w:color="000000"/>
            </w:tcBorders>
          </w:tcPr>
          <w:p>
            <w:pPr>
              <w:pStyle w:val="Normal"/>
              <w:jc w:val="center"/>
              <w:rPr>
                <w:rFonts w:ascii="Arial" w:hAnsi="Arial" w:cs="Arial"/>
                <w:b/>
                <w:color w:val="000000"/>
              </w:rPr>
            </w:pPr>
            <w:r>
              <w:rPr>
                <w:rFonts w:cs="Arial" w:ascii="Arial" w:hAnsi="Arial"/>
                <w:b/>
                <w:color w:val="000000"/>
              </w:rPr>
              <w:t>Existing Capacity</w:t>
            </w:r>
          </w:p>
        </w:tc>
        <w:tc>
          <w:tcPr>
            <w:tcW w:w="144" w:type="dxa"/>
            <w:tcBorders/>
          </w:tcPr>
          <w:p>
            <w:pPr>
              <w:pStyle w:val="Normal"/>
              <w:snapToGrid w:val="false"/>
              <w:jc w:val="center"/>
              <w:rPr>
                <w:rFonts w:ascii="Arial" w:hAnsi="Arial" w:cs="Arial"/>
                <w:b/>
                <w:color w:val="000000"/>
              </w:rPr>
            </w:pPr>
            <w:r>
              <w:rPr>
                <w:rFonts w:cs="Arial" w:ascii="Arial" w:hAnsi="Arial"/>
                <w:b/>
                <w:color w:val="000000"/>
              </w:rPr>
            </w:r>
          </w:p>
        </w:tc>
        <w:tc>
          <w:tcPr>
            <w:tcW w:w="1080" w:type="dxa"/>
            <w:tcBorders>
              <w:bottom w:val="single" w:sz="4" w:space="0" w:color="000000"/>
            </w:tcBorders>
          </w:tcPr>
          <w:p>
            <w:pPr>
              <w:pStyle w:val="Normal"/>
              <w:jc w:val="center"/>
              <w:rPr>
                <w:rFonts w:ascii="Arial" w:hAnsi="Arial" w:cs="Arial"/>
                <w:b/>
                <w:color w:val="000000"/>
              </w:rPr>
            </w:pPr>
            <w:r>
              <w:rPr>
                <w:rFonts w:cs="Arial" w:ascii="Arial" w:hAnsi="Arial"/>
                <w:b/>
                <w:color w:val="000000"/>
              </w:rPr>
              <w:t>Proposed Capacity</w:t>
            </w:r>
          </w:p>
        </w:tc>
        <w:tc>
          <w:tcPr>
            <w:tcW w:w="144" w:type="dxa"/>
            <w:tcBorders/>
          </w:tcPr>
          <w:p>
            <w:pPr>
              <w:pStyle w:val="Normal"/>
              <w:snapToGrid w:val="false"/>
              <w:jc w:val="center"/>
              <w:rPr>
                <w:rFonts w:ascii="Arial" w:hAnsi="Arial" w:cs="Arial"/>
                <w:b/>
                <w:color w:val="000000"/>
              </w:rPr>
            </w:pPr>
            <w:r>
              <w:rPr>
                <w:rFonts w:cs="Arial" w:ascii="Arial" w:hAnsi="Arial"/>
                <w:b/>
                <w:color w:val="000000"/>
              </w:rPr>
            </w:r>
          </w:p>
        </w:tc>
        <w:tc>
          <w:tcPr>
            <w:tcW w:w="1080" w:type="dxa"/>
            <w:tcBorders>
              <w:bottom w:val="single" w:sz="4" w:space="0" w:color="000000"/>
            </w:tcBorders>
          </w:tcPr>
          <w:p>
            <w:pPr>
              <w:pStyle w:val="Normal"/>
              <w:jc w:val="center"/>
              <w:rPr>
                <w:rFonts w:ascii="Arial" w:hAnsi="Arial" w:cs="Arial"/>
                <w:b/>
                <w:color w:val="000000"/>
              </w:rPr>
            </w:pPr>
            <w:r>
              <w:rPr>
                <w:rFonts w:cs="Arial" w:ascii="Arial" w:hAnsi="Arial"/>
                <w:b/>
                <w:color w:val="000000"/>
              </w:rPr>
              <w:t>Reason Changed</w:t>
            </w:r>
          </w:p>
        </w:tc>
      </w:tr>
      <w:tr>
        <w:trPr>
          <w:trHeight w:val="400" w:hRule="atLeast"/>
        </w:trPr>
        <w:tc>
          <w:tcPr>
            <w:tcW w:w="917" w:type="dxa"/>
            <w:tcBorders/>
          </w:tcPr>
          <w:p>
            <w:pPr>
              <w:pStyle w:val="Normal"/>
              <w:snapToGrid w:val="false"/>
              <w:jc w:val="end"/>
              <w:rPr>
                <w:rFonts w:ascii="Arial" w:hAnsi="Arial" w:cs="Arial"/>
                <w:b/>
                <w:color w:val="000000"/>
              </w:rPr>
            </w:pPr>
            <w:r>
              <w:rPr>
                <w:rFonts w:cs="Arial" w:ascii="Arial" w:hAnsi="Arial"/>
                <w:b/>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cPr>
          <w:p>
            <w:pPr>
              <w:pStyle w:val="Normal"/>
              <w:snapToGrid w:val="false"/>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917"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93" w:type="dxa"/>
            <w:tcBorders/>
          </w:tcPr>
          <w:p>
            <w:pPr>
              <w:pStyle w:val="Normal"/>
              <w:snapToGrid w:val="false"/>
              <w:jc w:val="end"/>
              <w:rPr>
                <w:rFonts w:ascii="Arial" w:hAnsi="Arial" w:cs="Arial"/>
                <w:color w:val="000000"/>
              </w:rPr>
            </w:pPr>
            <w:r>
              <w:rPr>
                <w:rFonts w:cs="Arial" w:ascii="Arial" w:hAnsi="Arial"/>
                <w:color w:val="000000"/>
              </w:rPr>
            </w:r>
          </w:p>
        </w:tc>
        <w:tc>
          <w:tcPr>
            <w:tcW w:w="19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9" w:type="dxa"/>
            <w:tcBorders/>
          </w:tcPr>
          <w:p>
            <w:pPr>
              <w:pStyle w:val="Normal"/>
              <w:snapToGrid w:val="false"/>
              <w:jc w:val="end"/>
              <w:rPr>
                <w:rFonts w:ascii="Arial" w:hAnsi="Arial" w:cs="Arial"/>
                <w:color w:val="000000"/>
              </w:rPr>
            </w:pPr>
            <w:r>
              <w:rPr>
                <w:rFonts w:cs="Arial" w:ascii="Arial" w:hAnsi="Arial"/>
                <w:color w:val="000000"/>
              </w:rPr>
            </w:r>
          </w:p>
        </w:tc>
        <w:tc>
          <w:tcPr>
            <w:tcW w:w="279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p>
    <w:tbl>
      <w:tblPr>
        <w:tblW w:w="5274" w:type="dxa"/>
        <w:jc w:val="start"/>
        <w:tblInd w:w="1278" w:type="dxa"/>
        <w:tblLayout w:type="fixed"/>
        <w:tblCellMar>
          <w:top w:w="0" w:type="dxa"/>
          <w:start w:w="72" w:type="dxa"/>
          <w:bottom w:w="0" w:type="dxa"/>
          <w:end w:w="72" w:type="dxa"/>
        </w:tblCellMar>
      </w:tblPr>
      <w:tblGrid>
        <w:gridCol w:w="1914"/>
        <w:gridCol w:w="210"/>
        <w:gridCol w:w="360"/>
        <w:gridCol w:w="2790"/>
      </w:tblGrid>
      <w:tr>
        <w:trPr/>
        <w:tc>
          <w:tcPr>
            <w:tcW w:w="1914" w:type="dxa"/>
            <w:tcBorders/>
          </w:tcPr>
          <w:p>
            <w:pPr>
              <w:pStyle w:val="Normal"/>
              <w:jc w:val="end"/>
              <w:rPr>
                <w:rFonts w:ascii="Arial" w:hAnsi="Arial" w:cs="Arial"/>
                <w:b/>
              </w:rPr>
            </w:pPr>
            <w:r>
              <w:rPr>
                <w:rFonts w:cs="Arial" w:ascii="Arial" w:hAnsi="Arial"/>
                <w:b/>
              </w:rPr>
              <w:t>Reason Changed:</w:t>
            </w:r>
          </w:p>
        </w:tc>
        <w:tc>
          <w:tcPr>
            <w:tcW w:w="210" w:type="dxa"/>
            <w:tcBorders/>
          </w:tcPr>
          <w:p>
            <w:pPr>
              <w:pStyle w:val="Normal"/>
              <w:snapToGrid w:val="false"/>
              <w:rPr>
                <w:rFonts w:ascii="Arial" w:hAnsi="Arial" w:cs="Arial"/>
                <w:b/>
              </w:rPr>
            </w:pPr>
            <w:r>
              <w:rPr>
                <w:rFonts w:cs="Arial" w:ascii="Arial" w:hAnsi="Arial"/>
                <w:b/>
              </w:rPr>
            </w:r>
          </w:p>
        </w:tc>
        <w:tc>
          <w:tcPr>
            <w:tcW w:w="360" w:type="dxa"/>
            <w:tcBorders/>
          </w:tcPr>
          <w:p>
            <w:pPr>
              <w:pStyle w:val="Normal"/>
              <w:rPr>
                <w:rFonts w:ascii="Arial" w:hAnsi="Arial" w:cs="Arial"/>
              </w:rPr>
            </w:pPr>
            <w:r>
              <w:rPr>
                <w:rFonts w:cs="Arial" w:ascii="Arial" w:hAnsi="Arial"/>
              </w:rPr>
              <w:t>1.</w:t>
            </w:r>
          </w:p>
        </w:tc>
        <w:tc>
          <w:tcPr>
            <w:tcW w:w="2790" w:type="dxa"/>
            <w:tcBorders/>
          </w:tcPr>
          <w:p>
            <w:pPr>
              <w:pStyle w:val="Normal"/>
              <w:rPr>
                <w:rFonts w:ascii="Arial" w:hAnsi="Arial" w:cs="Arial"/>
              </w:rPr>
            </w:pPr>
            <w:r>
              <w:rPr>
                <w:rFonts w:cs="Arial" w:ascii="Arial" w:hAnsi="Arial"/>
              </w:rPr>
              <w:t>Facility Modification</w:t>
            </w:r>
          </w:p>
        </w:tc>
      </w:tr>
      <w:tr>
        <w:trPr/>
        <w:tc>
          <w:tcPr>
            <w:tcW w:w="1914" w:type="dxa"/>
            <w:tcBorders/>
          </w:tcPr>
          <w:p>
            <w:pPr>
              <w:pStyle w:val="Normal"/>
              <w:snapToGrid w:val="false"/>
              <w:rPr>
                <w:rFonts w:ascii="Arial" w:hAnsi="Arial" w:cs="Arial"/>
              </w:rPr>
            </w:pPr>
            <w:r>
              <w:rPr>
                <w:rFonts w:cs="Arial" w:ascii="Arial" w:hAnsi="Arial"/>
              </w:rPr>
            </w:r>
          </w:p>
        </w:tc>
        <w:tc>
          <w:tcPr>
            <w:tcW w:w="210" w:type="dxa"/>
            <w:tcBorders/>
          </w:tcPr>
          <w:p>
            <w:pPr>
              <w:pStyle w:val="Normal"/>
              <w:snapToGrid w:val="false"/>
              <w:rPr>
                <w:rFonts w:ascii="Arial" w:hAnsi="Arial" w:cs="Arial"/>
              </w:rPr>
            </w:pPr>
            <w:r>
              <w:rPr>
                <w:rFonts w:cs="Arial" w:ascii="Arial" w:hAnsi="Arial"/>
              </w:rPr>
            </w:r>
          </w:p>
        </w:tc>
        <w:tc>
          <w:tcPr>
            <w:tcW w:w="360" w:type="dxa"/>
            <w:tcBorders/>
          </w:tcPr>
          <w:p>
            <w:pPr>
              <w:pStyle w:val="Normal"/>
              <w:rPr>
                <w:rFonts w:ascii="Arial" w:hAnsi="Arial" w:cs="Arial"/>
              </w:rPr>
            </w:pPr>
            <w:r>
              <w:rPr>
                <w:rFonts w:cs="Arial" w:ascii="Arial" w:hAnsi="Arial"/>
              </w:rPr>
              <w:t>2.</w:t>
            </w:r>
          </w:p>
        </w:tc>
        <w:tc>
          <w:tcPr>
            <w:tcW w:w="2790" w:type="dxa"/>
            <w:tcBorders/>
          </w:tcPr>
          <w:p>
            <w:pPr>
              <w:pStyle w:val="Normal"/>
              <w:rPr>
                <w:rFonts w:ascii="Arial" w:hAnsi="Arial" w:cs="Arial"/>
              </w:rPr>
            </w:pPr>
            <w:r>
              <w:rPr>
                <w:rFonts w:cs="Arial" w:ascii="Arial" w:hAnsi="Arial"/>
              </w:rPr>
              <w:t>Modeling Change</w:t>
            </w:r>
          </w:p>
        </w:tc>
      </w:tr>
      <w:tr>
        <w:trPr/>
        <w:tc>
          <w:tcPr>
            <w:tcW w:w="1914" w:type="dxa"/>
            <w:tcBorders/>
          </w:tcPr>
          <w:p>
            <w:pPr>
              <w:pStyle w:val="Normal"/>
              <w:snapToGrid w:val="false"/>
              <w:rPr>
                <w:rFonts w:ascii="Arial" w:hAnsi="Arial" w:cs="Arial"/>
              </w:rPr>
            </w:pPr>
            <w:r>
              <w:rPr>
                <w:rFonts w:cs="Arial" w:ascii="Arial" w:hAnsi="Arial"/>
              </w:rPr>
            </w:r>
          </w:p>
        </w:tc>
        <w:tc>
          <w:tcPr>
            <w:tcW w:w="210" w:type="dxa"/>
            <w:tcBorders/>
          </w:tcPr>
          <w:p>
            <w:pPr>
              <w:pStyle w:val="Normal"/>
              <w:snapToGrid w:val="false"/>
              <w:rPr>
                <w:rFonts w:ascii="Arial" w:hAnsi="Arial" w:cs="Arial"/>
              </w:rPr>
            </w:pPr>
            <w:r>
              <w:rPr>
                <w:rFonts w:cs="Arial" w:ascii="Arial" w:hAnsi="Arial"/>
              </w:rPr>
            </w:r>
          </w:p>
        </w:tc>
        <w:tc>
          <w:tcPr>
            <w:tcW w:w="360" w:type="dxa"/>
            <w:tcBorders/>
          </w:tcPr>
          <w:p>
            <w:pPr>
              <w:pStyle w:val="Normal"/>
              <w:rPr>
                <w:rFonts w:ascii="Arial" w:hAnsi="Arial" w:cs="Arial"/>
              </w:rPr>
            </w:pPr>
            <w:r>
              <w:rPr>
                <w:rFonts w:cs="Arial" w:ascii="Arial" w:hAnsi="Arial"/>
              </w:rPr>
              <w:t>3.</w:t>
            </w:r>
          </w:p>
        </w:tc>
        <w:tc>
          <w:tcPr>
            <w:tcW w:w="2790" w:type="dxa"/>
            <w:tcBorders/>
          </w:tcPr>
          <w:p>
            <w:pPr>
              <w:pStyle w:val="Normal"/>
              <w:rPr>
                <w:rFonts w:ascii="Arial" w:hAnsi="Arial" w:cs="Arial"/>
              </w:rPr>
            </w:pPr>
            <w:r>
              <w:rPr>
                <w:rFonts w:cs="Arial" w:ascii="Arial" w:hAnsi="Arial"/>
              </w:rPr>
              <w:t>Pressure Change</w:t>
            </w:r>
          </w:p>
        </w:tc>
      </w:tr>
      <w:tr>
        <w:trPr/>
        <w:tc>
          <w:tcPr>
            <w:tcW w:w="1914" w:type="dxa"/>
            <w:tcBorders/>
          </w:tcPr>
          <w:p>
            <w:pPr>
              <w:pStyle w:val="Normal"/>
              <w:snapToGrid w:val="false"/>
              <w:rPr>
                <w:rFonts w:ascii="Arial" w:hAnsi="Arial" w:cs="Arial"/>
              </w:rPr>
            </w:pPr>
            <w:r>
              <w:rPr>
                <w:rFonts w:cs="Arial" w:ascii="Arial" w:hAnsi="Arial"/>
              </w:rPr>
            </w:r>
          </w:p>
        </w:tc>
        <w:tc>
          <w:tcPr>
            <w:tcW w:w="210" w:type="dxa"/>
            <w:tcBorders/>
          </w:tcPr>
          <w:p>
            <w:pPr>
              <w:pStyle w:val="Normal"/>
              <w:snapToGrid w:val="false"/>
              <w:rPr>
                <w:rFonts w:ascii="Arial" w:hAnsi="Arial" w:cs="Arial"/>
              </w:rPr>
            </w:pPr>
            <w:r>
              <w:rPr>
                <w:rFonts w:cs="Arial" w:ascii="Arial" w:hAnsi="Arial"/>
              </w:rPr>
            </w:r>
          </w:p>
        </w:tc>
        <w:tc>
          <w:tcPr>
            <w:tcW w:w="360" w:type="dxa"/>
            <w:tcBorders/>
          </w:tcPr>
          <w:p>
            <w:pPr>
              <w:pStyle w:val="Normal"/>
              <w:rPr>
                <w:rFonts w:ascii="Arial" w:hAnsi="Arial" w:cs="Arial"/>
              </w:rPr>
            </w:pPr>
            <w:r>
              <w:rPr>
                <w:rFonts w:cs="Arial" w:ascii="Arial" w:hAnsi="Arial"/>
              </w:rPr>
              <w:t xml:space="preserve">4. </w:t>
            </w:r>
          </w:p>
        </w:tc>
        <w:tc>
          <w:tcPr>
            <w:tcW w:w="2790" w:type="dxa"/>
            <w:tcBorders>
              <w:bottom w:val="single" w:sz="4" w:space="0" w:color="000000"/>
            </w:tcBorders>
          </w:tcPr>
          <w:p>
            <w:pPr>
              <w:pStyle w:val="Normal"/>
              <w:rPr>
                <w:rFonts w:ascii="Arial" w:hAnsi="Arial" w:cs="Arial"/>
              </w:rPr>
            </w:pPr>
            <w:r>
              <w:rPr>
                <w:rFonts w:cs="Arial" w:ascii="Arial" w:hAnsi="Arial"/>
              </w:rPr>
              <w:t>Operational Experience</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401" w:type="dxa"/>
        <w:jc w:val="start"/>
        <w:tblInd w:w="0" w:type="dxa"/>
        <w:tblLayout w:type="fixed"/>
        <w:tblCellMar>
          <w:top w:w="0" w:type="dxa"/>
          <w:start w:w="30" w:type="dxa"/>
          <w:bottom w:w="0" w:type="dxa"/>
          <w:end w:w="30" w:type="dxa"/>
        </w:tblCellMar>
      </w:tblPr>
      <w:tblGrid>
        <w:gridCol w:w="2100"/>
        <w:gridCol w:w="144"/>
        <w:gridCol w:w="4320"/>
        <w:gridCol w:w="946"/>
        <w:gridCol w:w="1891"/>
      </w:tblGrid>
      <w:tr>
        <w:trPr>
          <w:trHeight w:val="250" w:hRule="atLeast"/>
        </w:trPr>
        <w:tc>
          <w:tcPr>
            <w:tcW w:w="2100" w:type="dxa"/>
            <w:tcBorders/>
          </w:tcPr>
          <w:p>
            <w:pPr>
              <w:pStyle w:val="Normal"/>
              <w:snapToGrid w:val="false"/>
              <w:jc w:val="center"/>
              <w:rPr>
                <w:rFonts w:ascii="Arial" w:hAnsi="Arial" w:cs="Arial"/>
                <w:b/>
                <w:color w:val="000000"/>
              </w:rPr>
            </w:pPr>
            <w:r>
              <w:rPr>
                <w:rFonts w:cs="Arial" w:ascii="Arial" w:hAnsi="Arial"/>
                <w:b/>
                <w:color w:val="000000"/>
              </w:rPr>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Heading5"/>
              <w:ind w:hanging="0" w:start="0"/>
              <w:rPr/>
            </w:pPr>
            <w:r>
              <w:rPr/>
              <w:t>Approved By</w:t>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rPr>
                <w:rFonts w:ascii="Arial" w:hAnsi="Arial" w:cs="Arial"/>
                <w:b/>
                <w:color w:val="000000"/>
              </w:rPr>
            </w:pPr>
            <w:r>
              <w:rPr>
                <w:rFonts w:cs="Arial" w:ascii="Arial" w:hAnsi="Arial"/>
                <w:b/>
                <w:color w:val="000000"/>
              </w:rPr>
              <w:t>Date:</w:t>
            </w:r>
          </w:p>
        </w:tc>
      </w:tr>
      <w:tr>
        <w:trPr>
          <w:trHeight w:val="250" w:hRule="atLeast"/>
        </w:trPr>
        <w:tc>
          <w:tcPr>
            <w:tcW w:w="2100" w:type="dxa"/>
            <w:tcBorders/>
          </w:tcPr>
          <w:p>
            <w:pPr>
              <w:pStyle w:val="Normal"/>
              <w:snapToGrid w:val="false"/>
              <w:jc w:val="end"/>
              <w:rPr>
                <w:rFonts w:ascii="Arial" w:hAnsi="Arial" w:cs="Arial"/>
                <w:b/>
                <w:color w:val="000000"/>
              </w:rPr>
            </w:pPr>
            <w:r>
              <w:rPr>
                <w:rFonts w:cs="Arial" w:ascii="Arial" w:hAnsi="Arial"/>
                <w:b/>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468" w:hRule="atLeast"/>
        </w:trPr>
        <w:tc>
          <w:tcPr>
            <w:tcW w:w="2100" w:type="dxa"/>
            <w:tcBorders/>
          </w:tcPr>
          <w:p>
            <w:pPr>
              <w:pStyle w:val="Normal"/>
              <w:jc w:val="end"/>
              <w:rPr>
                <w:rFonts w:ascii="Arial" w:hAnsi="Arial" w:cs="Arial"/>
                <w:b/>
                <w:color w:val="000000"/>
              </w:rPr>
            </w:pPr>
            <w:r>
              <w:rPr>
                <w:rFonts w:cs="Arial" w:ascii="Arial" w:hAnsi="Arial"/>
                <w:b/>
                <w:color w:val="000000"/>
              </w:rPr>
              <w:t xml:space="preserve">Rates-Certificates: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87" w:hRule="atLeast"/>
        </w:trPr>
        <w:tc>
          <w:tcPr>
            <w:tcW w:w="2100" w:type="dxa"/>
            <w:tcBorders/>
          </w:tcPr>
          <w:p>
            <w:pPr>
              <w:pStyle w:val="Normal"/>
              <w:jc w:val="end"/>
              <w:rPr>
                <w:rFonts w:ascii="Arial" w:hAnsi="Arial" w:cs="Arial"/>
                <w:b/>
                <w:color w:val="000000"/>
              </w:rPr>
            </w:pPr>
            <w:r>
              <w:rPr>
                <w:rFonts w:cs="Arial" w:ascii="Arial" w:hAnsi="Arial"/>
                <w:b/>
                <w:color w:val="000000"/>
              </w:rPr>
              <w:t>Legal:</w:t>
            </w:r>
          </w:p>
          <w:p>
            <w:pPr>
              <w:pStyle w:val="Normal"/>
              <w:jc w:val="end"/>
              <w:rPr>
                <w:rFonts w:ascii="Arial" w:hAnsi="Arial" w:cs="Arial"/>
                <w:b/>
                <w:color w:val="000000"/>
              </w:rPr>
            </w:pPr>
            <w:r>
              <w:rPr>
                <w:rFonts w:cs="Arial" w:ascii="Arial" w:hAnsi="Arial"/>
                <w:b/>
                <w:color w:val="000000"/>
              </w:rPr>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jc w:val="end"/>
              <w:rPr>
                <w:rFonts w:ascii="Arial" w:hAnsi="Arial" w:cs="Arial"/>
                <w:b/>
                <w:color w:val="000000"/>
              </w:rPr>
            </w:pPr>
            <w:r>
              <w:rPr>
                <w:rFonts w:cs="Arial" w:ascii="Arial" w:hAnsi="Arial"/>
                <w:b/>
                <w:color w:val="000000"/>
              </w:rPr>
              <w:t xml:space="preserve">Marketing: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b/>
                <w:color w:val="000000"/>
              </w:rPr>
            </w:pPr>
            <w:r>
              <w:rPr>
                <w:rFonts w:cs="Arial" w:ascii="Arial" w:hAnsi="Arial"/>
                <w:b/>
                <w:color w:val="000000"/>
              </w:rPr>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jc w:val="end"/>
              <w:rPr>
                <w:rFonts w:ascii="Arial" w:hAnsi="Arial" w:cs="Arial"/>
                <w:b/>
                <w:color w:val="000000"/>
              </w:rPr>
            </w:pPr>
            <w:r>
              <w:rPr>
                <w:rFonts w:cs="Arial" w:ascii="Arial" w:hAnsi="Arial"/>
                <w:b/>
                <w:color w:val="000000"/>
              </w:rPr>
              <w:t xml:space="preserve">Market Services: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40" w:hRule="atLeast"/>
        </w:trPr>
        <w:tc>
          <w:tcPr>
            <w:tcW w:w="2100" w:type="dxa"/>
            <w:tcBorders/>
          </w:tcPr>
          <w:p>
            <w:pPr>
              <w:pStyle w:val="Normal"/>
              <w:jc w:val="end"/>
              <w:rPr>
                <w:rFonts w:ascii="Arial" w:hAnsi="Arial" w:cs="Arial"/>
                <w:b/>
                <w:color w:val="000000"/>
              </w:rPr>
            </w:pPr>
            <w:r>
              <w:rPr>
                <w:rFonts w:cs="Arial" w:ascii="Arial" w:hAnsi="Arial"/>
                <w:b/>
                <w:color w:val="000000"/>
              </w:rPr>
              <w:t xml:space="preserve">(Gas Control)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jc w:val="end"/>
              <w:rPr>
                <w:rFonts w:ascii="Arial" w:hAnsi="Arial" w:cs="Arial"/>
                <w:b/>
                <w:color w:val="000000"/>
              </w:rPr>
            </w:pPr>
            <w:r>
              <w:rPr>
                <w:rFonts w:cs="Arial" w:ascii="Arial" w:hAnsi="Arial"/>
                <w:b/>
                <w:color w:val="000000"/>
              </w:rPr>
              <w:t xml:space="preserve">Operations: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13" w:hRule="atLeast"/>
        </w:trPr>
        <w:tc>
          <w:tcPr>
            <w:tcW w:w="2100" w:type="dxa"/>
            <w:tcBorders/>
          </w:tcPr>
          <w:p>
            <w:pPr>
              <w:pStyle w:val="Normal"/>
              <w:snapToGrid w:val="false"/>
              <w:jc w:val="end"/>
              <w:rPr>
                <w:rFonts w:ascii="Arial" w:hAnsi="Arial" w:cs="Arial"/>
                <w:b/>
                <w:color w:val="000000"/>
              </w:rPr>
            </w:pPr>
            <w:r>
              <w:rPr>
                <w:rFonts w:cs="Arial" w:ascii="Arial" w:hAnsi="Arial"/>
                <w:b/>
                <w:color w:val="000000"/>
              </w:rPr>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jc w:val="end"/>
              <w:rPr>
                <w:rFonts w:ascii="Arial" w:hAnsi="Arial" w:cs="Arial"/>
                <w:b/>
                <w:color w:val="000000"/>
              </w:rPr>
            </w:pPr>
            <w:r>
              <w:rPr>
                <w:rFonts w:cs="Arial" w:ascii="Arial" w:hAnsi="Arial"/>
                <w:b/>
                <w:color w:val="000000"/>
              </w:rPr>
              <w:t xml:space="preserve">Comments:  </w:t>
            </w:r>
          </w:p>
        </w:tc>
        <w:tc>
          <w:tcPr>
            <w:tcW w:w="144" w:type="dxa"/>
            <w:tcBorders/>
          </w:tcPr>
          <w:p>
            <w:pPr>
              <w:pStyle w:val="Normal"/>
              <w:snapToGrid w:val="false"/>
              <w:jc w:val="end"/>
              <w:rPr>
                <w:rFonts w:ascii="Arial" w:hAnsi="Arial" w:cs="Arial"/>
                <w:b/>
                <w:color w:val="000000"/>
              </w:rPr>
            </w:pPr>
            <w:r>
              <w:rPr>
                <w:rFonts w:cs="Arial" w:ascii="Arial" w:hAnsi="Arial"/>
                <w:b/>
                <w:color w:val="000000"/>
              </w:rPr>
            </w:r>
          </w:p>
        </w:tc>
        <w:tc>
          <w:tcPr>
            <w:tcW w:w="4320" w:type="dxa"/>
            <w:tcBorders/>
          </w:tcPr>
          <w:p>
            <w:pPr>
              <w:pStyle w:val="Normal"/>
              <w:snapToGrid w:val="false"/>
              <w:rPr>
                <w:rFonts w:ascii="Arial" w:hAnsi="Arial" w:cs="Arial"/>
                <w:color w:val="000000"/>
              </w:rPr>
            </w:pPr>
            <w:r>
              <w:rPr>
                <w:rFonts w:cs="Arial" w:ascii="Arial" w:hAnsi="Arial"/>
                <w:color w:val="000000"/>
              </w:rPr>
            </w:r>
          </w:p>
        </w:tc>
        <w:tc>
          <w:tcPr>
            <w:tcW w:w="946" w:type="dxa"/>
            <w:tcBorders/>
          </w:tcPr>
          <w:p>
            <w:pPr>
              <w:pStyle w:val="Normal"/>
              <w:jc w:val="end"/>
              <w:rPr>
                <w:rFonts w:ascii="Arial" w:hAnsi="Arial" w:cs="Arial"/>
                <w:b/>
                <w:color w:val="000000"/>
              </w:rPr>
            </w:pPr>
            <w:r>
              <w:rPr>
                <w:rFonts w:cs="Arial" w:ascii="Arial" w:hAnsi="Arial"/>
                <w:b/>
                <w:color w:val="000000"/>
              </w:rPr>
              <w:t xml:space="preserve">By: </w:t>
            </w:r>
          </w:p>
        </w:tc>
        <w:tc>
          <w:tcPr>
            <w:tcW w:w="1891" w:type="dxa"/>
            <w:tcBorders/>
          </w:tcPr>
          <w:p>
            <w:pPr>
              <w:pStyle w:val="Normal"/>
              <w:snapToGrid w:val="false"/>
              <w:jc w:val="end"/>
              <w:rPr>
                <w:rFonts w:ascii="Arial" w:hAnsi="Arial" w:cs="Arial"/>
                <w:b/>
                <w:color w:val="000000"/>
              </w:rPr>
            </w:pPr>
            <w:r>
              <w:rPr>
                <w:rFonts w:cs="Arial" w:ascii="Arial" w:hAnsi="Arial"/>
                <w:b/>
                <w:color w:val="000000"/>
              </w:rPr>
            </w:r>
          </w:p>
        </w:tc>
      </w:tr>
      <w:tr>
        <w:trPr>
          <w:trHeight w:val="7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4320" w:type="dxa"/>
            <w:tcBorders/>
          </w:tcPr>
          <w:p>
            <w:pPr>
              <w:pStyle w:val="Normal"/>
              <w:snapToGrid w:val="false"/>
              <w:jc w:val="end"/>
              <w:rPr>
                <w:rFonts w:ascii="Arial" w:hAnsi="Arial" w:cs="Arial"/>
                <w:color w:val="000000"/>
              </w:rPr>
            </w:pPr>
            <w:r>
              <w:rPr>
                <w:rFonts w:cs="Arial" w:ascii="Arial" w:hAnsi="Arial"/>
                <w:color w:val="000000"/>
              </w:rPr>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100"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rPr>
                <w:rFonts w:ascii="Arial" w:hAnsi="Arial" w:cs="Arial"/>
                <w:color w:val="000000"/>
              </w:rPr>
            </w:pPr>
            <w:r>
              <w:rPr>
                <w:rFonts w:cs="Arial" w:ascii="Arial" w:hAnsi="Arial"/>
                <w:color w:val="000000"/>
              </w:rPr>
            </w:r>
          </w:p>
        </w:tc>
        <w:tc>
          <w:tcPr>
            <w:tcW w:w="4320" w:type="dxa"/>
            <w:tcBorders/>
          </w:tcPr>
          <w:p>
            <w:pPr>
              <w:pStyle w:val="Normal"/>
              <w:rPr>
                <w:rFonts w:ascii="Arial" w:hAnsi="Arial" w:cs="Arial"/>
                <w:color w:val="000000"/>
              </w:rPr>
            </w:pPr>
            <w:r>
              <w:rPr>
                <w:rFonts w:cs="Arial" w:ascii="Arial" w:hAnsi="Arial"/>
                <w:color w:val="000000"/>
              </w:rPr>
              <w:t>Please return to the Omaha Planning Team</w:t>
            </w:r>
          </w:p>
        </w:tc>
        <w:tc>
          <w:tcPr>
            <w:tcW w:w="946" w:type="dxa"/>
            <w:tcBorders/>
          </w:tcPr>
          <w:p>
            <w:pPr>
              <w:pStyle w:val="Normal"/>
              <w:snapToGrid w:val="false"/>
              <w:jc w:val="end"/>
              <w:rPr>
                <w:rFonts w:ascii="Arial" w:hAnsi="Arial" w:cs="Arial"/>
                <w:color w:val="000000"/>
              </w:rPr>
            </w:pPr>
            <w:r>
              <w:rPr>
                <w:rFonts w:cs="Arial" w:ascii="Arial" w:hAnsi="Arial"/>
                <w:color w:val="000000"/>
              </w:rPr>
            </w:r>
          </w:p>
        </w:tc>
        <w:tc>
          <w:tcPr>
            <w:tcW w:w="1891" w:type="dxa"/>
            <w:tcBorders/>
          </w:tcPr>
          <w:p>
            <w:pPr>
              <w:pStyle w:val="Normal"/>
              <w:snapToGrid w:val="false"/>
              <w:jc w:val="end"/>
              <w:rPr>
                <w:rFonts w:ascii="Arial" w:hAnsi="Arial" w:cs="Arial"/>
                <w:color w:val="000000"/>
              </w:rPr>
            </w:pPr>
            <w:r>
              <w:rPr>
                <w:rFonts w:cs="Arial" w:ascii="Arial" w:hAnsi="Arial"/>
                <w:color w:val="000000"/>
              </w:rPr>
            </w:r>
          </w:p>
        </w:tc>
      </w:tr>
    </w:tbl>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864"/>
          <w:pgNumType w:fmt="decimal"/>
          <w:formProt w:val="false"/>
          <w:textDirection w:val="lrTb"/>
          <w:docGrid w:type="default" w:linePitch="360" w:charSpace="0"/>
        </w:sectPr>
        <w:pStyle w:val="Normal"/>
        <w:rPr>
          <w:rFonts w:ascii="Arial" w:hAnsi="Arial" w:cs="Arial"/>
        </w:rPr>
      </w:pPr>
      <w:r>
        <w:rPr>
          <w:rFonts w:cs="Arial" w:ascii="Arial" w:hAnsi="Arial"/>
        </w:rPr>
      </w:r>
    </w:p>
    <w:p>
      <w:pPr>
        <w:pStyle w:val="Heading8"/>
        <w:rPr/>
      </w:pPr>
      <w:r>
        <w:rPr/>
        <w:t>CAS – SHORT TERM FIRM CAPACITY CHANGE FORM</w:t>
      </w:r>
    </w:p>
    <w:p>
      <w:pPr>
        <w:pStyle w:val="Normal"/>
        <w:jc w:val="center"/>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rPr>
      </w:pPr>
      <w:r>
        <w:rPr>
          <w:rFonts w:cs="Arial" w:ascii="Arial" w:hAnsi="Arial"/>
          <w:b/>
          <w:color w:val="000000"/>
          <w:sz w:val="24"/>
        </w:rPr>
      </w:r>
    </w:p>
    <w:tbl>
      <w:tblPr>
        <w:tblW w:w="3798" w:type="dxa"/>
        <w:jc w:val="start"/>
        <w:tblInd w:w="4860" w:type="dxa"/>
        <w:tblLayout w:type="fixed"/>
        <w:tblCellMar>
          <w:top w:w="0" w:type="dxa"/>
          <w:start w:w="144" w:type="dxa"/>
          <w:bottom w:w="0" w:type="dxa"/>
          <w:end w:w="144" w:type="dxa"/>
        </w:tblCellMar>
      </w:tblPr>
      <w:tblGrid>
        <w:gridCol w:w="1998"/>
        <w:gridCol w:w="1800"/>
      </w:tblGrid>
      <w:tr>
        <w:trPr>
          <w:trHeight w:val="250" w:hRule="atLeast"/>
        </w:trPr>
        <w:tc>
          <w:tcPr>
            <w:tcW w:w="1998" w:type="dxa"/>
            <w:tcBorders/>
          </w:tcPr>
          <w:p>
            <w:pPr>
              <w:pStyle w:val="Normal"/>
              <w:jc w:val="end"/>
              <w:rPr>
                <w:rFonts w:ascii="Arial" w:hAnsi="Arial" w:cs="Arial"/>
                <w:b/>
              </w:rPr>
            </w:pPr>
            <w:r>
              <w:rPr>
                <w:rFonts w:cs="Arial" w:ascii="Arial" w:hAnsi="Arial"/>
                <w:b/>
              </w:rPr>
              <w:t>Approval No:</w:t>
            </w:r>
          </w:p>
        </w:tc>
        <w:tc>
          <w:tcPr>
            <w:tcW w:w="1800" w:type="dxa"/>
            <w:tcBorders/>
          </w:tcPr>
          <w:p>
            <w:pPr>
              <w:pStyle w:val="Normal"/>
              <w:snapToGrid w:val="false"/>
              <w:rPr>
                <w:rFonts w:ascii="Arial" w:hAnsi="Arial" w:cs="Arial"/>
                <w:b/>
              </w:rPr>
            </w:pPr>
            <w:r>
              <w:rPr>
                <w:rFonts w:cs="Arial" w:ascii="Arial" w:hAnsi="Arial"/>
                <w:b/>
              </w:rPr>
            </w:r>
          </w:p>
        </w:tc>
      </w:tr>
      <w:tr>
        <w:trPr>
          <w:trHeight w:val="250" w:hRule="atLeast"/>
        </w:trPr>
        <w:tc>
          <w:tcPr>
            <w:tcW w:w="1998" w:type="dxa"/>
            <w:tcBorders/>
          </w:tcPr>
          <w:p>
            <w:pPr>
              <w:pStyle w:val="Normal"/>
              <w:jc w:val="end"/>
              <w:rPr>
                <w:rFonts w:ascii="Arial" w:hAnsi="Arial" w:cs="Arial"/>
                <w:b/>
              </w:rPr>
            </w:pPr>
            <w:r>
              <w:rPr>
                <w:rFonts w:cs="Arial" w:ascii="Arial" w:hAnsi="Arial"/>
                <w:b/>
              </w:rPr>
              <w:t>Date of Request:</w:t>
            </w:r>
          </w:p>
        </w:tc>
        <w:tc>
          <w:tcPr>
            <w:tcW w:w="1800" w:type="dxa"/>
            <w:tcBorders>
              <w:top w:val="single" w:sz="4" w:space="0" w:color="000000"/>
              <w:bottom w:val="single" w:sz="4" w:space="0" w:color="000000"/>
            </w:tcBorders>
          </w:tcPr>
          <w:p>
            <w:pPr>
              <w:pStyle w:val="Normal"/>
              <w:snapToGrid w:val="false"/>
              <w:rPr>
                <w:rFonts w:ascii="Arial" w:hAnsi="Arial" w:cs="Arial"/>
                <w:b/>
              </w:rPr>
            </w:pPr>
            <w:r>
              <w:rPr>
                <w:rFonts w:cs="Arial" w:ascii="Arial" w:hAnsi="Arial"/>
                <w:b/>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630" w:type="dxa"/>
        <w:jc w:val="start"/>
        <w:tblInd w:w="120" w:type="dxa"/>
        <w:tblLayout w:type="fixed"/>
        <w:tblCellMar>
          <w:top w:w="0" w:type="dxa"/>
          <w:start w:w="30" w:type="dxa"/>
          <w:bottom w:w="0" w:type="dxa"/>
          <w:end w:w="30" w:type="dxa"/>
        </w:tblCellMar>
      </w:tblPr>
      <w:tblGrid>
        <w:gridCol w:w="720"/>
        <w:gridCol w:w="83"/>
        <w:gridCol w:w="3067"/>
        <w:gridCol w:w="83"/>
        <w:gridCol w:w="583"/>
        <w:gridCol w:w="144"/>
        <w:gridCol w:w="3256"/>
        <w:gridCol w:w="180"/>
        <w:gridCol w:w="1424"/>
        <w:gridCol w:w="90"/>
      </w:tblGrid>
      <w:tr>
        <w:trPr>
          <w:trHeight w:val="235" w:hRule="atLeast"/>
        </w:trPr>
        <w:tc>
          <w:tcPr>
            <w:tcW w:w="720"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POI No</w:t>
            </w:r>
          </w:p>
        </w:tc>
        <w:tc>
          <w:tcPr>
            <w:tcW w:w="83" w:type="dxa"/>
            <w:tcBorders/>
          </w:tcPr>
          <w:p>
            <w:pPr>
              <w:pStyle w:val="Normal"/>
              <w:snapToGrid w:val="false"/>
              <w:jc w:val="center"/>
              <w:rPr>
                <w:rFonts w:ascii="Arial" w:hAnsi="Arial" w:cs="Arial"/>
                <w:b/>
                <w:color w:val="000000"/>
              </w:rPr>
            </w:pPr>
            <w:r>
              <w:rPr>
                <w:rFonts w:cs="Arial" w:ascii="Arial" w:hAnsi="Arial"/>
                <w:b/>
                <w:color w:val="000000"/>
              </w:rPr>
            </w:r>
          </w:p>
        </w:tc>
        <w:tc>
          <w:tcPr>
            <w:tcW w:w="3067"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POI/Group Name</w:t>
            </w:r>
          </w:p>
        </w:tc>
        <w:tc>
          <w:tcPr>
            <w:tcW w:w="83" w:type="dxa"/>
            <w:tcBorders/>
          </w:tcPr>
          <w:p>
            <w:pPr>
              <w:pStyle w:val="Normal"/>
              <w:snapToGrid w:val="false"/>
              <w:jc w:val="center"/>
              <w:rPr>
                <w:rFonts w:ascii="Arial" w:hAnsi="Arial" w:cs="Arial"/>
                <w:b/>
                <w:color w:val="000000"/>
              </w:rPr>
            </w:pPr>
            <w:r>
              <w:rPr>
                <w:rFonts w:cs="Arial" w:ascii="Arial" w:hAnsi="Arial"/>
                <w:b/>
                <w:color w:val="000000"/>
              </w:rPr>
            </w:r>
          </w:p>
        </w:tc>
        <w:tc>
          <w:tcPr>
            <w:tcW w:w="583"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R/D</w:t>
            </w:r>
          </w:p>
        </w:tc>
        <w:tc>
          <w:tcPr>
            <w:tcW w:w="144" w:type="dxa"/>
            <w:tcBorders/>
          </w:tcPr>
          <w:p>
            <w:pPr>
              <w:pStyle w:val="Normal"/>
              <w:snapToGrid w:val="false"/>
              <w:jc w:val="center"/>
              <w:rPr>
                <w:rFonts w:ascii="Arial" w:hAnsi="Arial" w:cs="Arial"/>
                <w:b/>
                <w:color w:val="000000"/>
              </w:rPr>
            </w:pPr>
            <w:r>
              <w:rPr>
                <w:rFonts w:cs="Arial" w:ascii="Arial" w:hAnsi="Arial"/>
                <w:b/>
                <w:color w:val="000000"/>
              </w:rPr>
            </w:r>
          </w:p>
        </w:tc>
        <w:tc>
          <w:tcPr>
            <w:tcW w:w="3256" w:type="dxa"/>
            <w:tcBorders>
              <w:bottom w:val="single" w:sz="4" w:space="0" w:color="000000"/>
            </w:tcBorders>
          </w:tcPr>
          <w:p>
            <w:pPr>
              <w:pStyle w:val="Normal"/>
              <w:snapToGrid w:val="false"/>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r>
          </w:p>
          <w:p>
            <w:pPr>
              <w:pStyle w:val="Heading5"/>
              <w:ind w:hanging="0" w:start="0"/>
              <w:rPr/>
            </w:pPr>
            <w:r>
              <w:rPr/>
              <w:t>Term or Season</w:t>
            </w:r>
          </w:p>
        </w:tc>
        <w:tc>
          <w:tcPr>
            <w:tcW w:w="180" w:type="dxa"/>
            <w:tcBorders/>
          </w:tcPr>
          <w:p>
            <w:pPr>
              <w:pStyle w:val="Normal"/>
              <w:snapToGrid w:val="false"/>
              <w:jc w:val="center"/>
              <w:rPr>
                <w:rFonts w:ascii="Arial" w:hAnsi="Arial" w:cs="Arial"/>
                <w:b/>
                <w:color w:val="000000"/>
              </w:rPr>
            </w:pPr>
            <w:r>
              <w:rPr>
                <w:rFonts w:cs="Arial" w:ascii="Arial" w:hAnsi="Arial"/>
                <w:b/>
                <w:color w:val="000000"/>
              </w:rPr>
            </w:r>
          </w:p>
        </w:tc>
        <w:tc>
          <w:tcPr>
            <w:tcW w:w="1424" w:type="dxa"/>
            <w:tcBorders>
              <w:bottom w:val="single" w:sz="4" w:space="0" w:color="000000"/>
            </w:tcBorders>
          </w:tcPr>
          <w:p>
            <w:pPr>
              <w:pStyle w:val="Normal"/>
              <w:jc w:val="center"/>
              <w:rPr>
                <w:rFonts w:ascii="Arial" w:hAnsi="Arial" w:cs="Arial"/>
                <w:b/>
                <w:color w:val="000000"/>
              </w:rPr>
            </w:pPr>
            <w:r>
              <w:rPr>
                <w:rFonts w:cs="Arial" w:ascii="Arial" w:hAnsi="Arial"/>
                <w:b/>
                <w:color w:val="000000"/>
              </w:rPr>
              <w:t>*Max Approved Capacity Level</w:t>
            </w:r>
          </w:p>
        </w:tc>
        <w:tc>
          <w:tcPr>
            <w:tcW w:w="90" w:type="dxa"/>
            <w:tcBorders/>
          </w:tcPr>
          <w:p>
            <w:pPr>
              <w:pStyle w:val="Normal"/>
              <w:snapToGrid w:val="false"/>
              <w:jc w:val="center"/>
              <w:rPr>
                <w:rFonts w:ascii="Arial" w:hAnsi="Arial" w:cs="Arial"/>
                <w:b/>
                <w:color w:val="000000"/>
              </w:rPr>
            </w:pPr>
            <w:r>
              <w:rPr>
                <w:rFonts w:cs="Arial" w:ascii="Arial" w:hAnsi="Arial"/>
                <w:b/>
                <w:color w:val="000000"/>
              </w:rPr>
            </w:r>
          </w:p>
        </w:tc>
      </w:tr>
      <w:tr>
        <w:trPr>
          <w:trHeight w:val="400" w:hRule="atLeast"/>
        </w:trPr>
        <w:tc>
          <w:tcPr>
            <w:tcW w:w="720" w:type="dxa"/>
            <w:tcBorders/>
          </w:tcPr>
          <w:p>
            <w:pPr>
              <w:pStyle w:val="Normal"/>
              <w:snapToGrid w:val="false"/>
              <w:jc w:val="end"/>
              <w:rPr>
                <w:rFonts w:ascii="Arial" w:hAnsi="Arial" w:cs="Arial"/>
                <w:b/>
                <w:color w:val="000000"/>
              </w:rPr>
            </w:pPr>
            <w:r>
              <w:rPr>
                <w:rFonts w:cs="Arial" w:ascii="Arial" w:hAnsi="Arial"/>
                <w:b/>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cPr>
          <w:p>
            <w:pPr>
              <w:pStyle w:val="Normal"/>
              <w:snapToGrid w:val="false"/>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r>
        <w:trPr>
          <w:trHeight w:val="400" w:hRule="atLeast"/>
        </w:trPr>
        <w:tc>
          <w:tcPr>
            <w:tcW w:w="72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3067"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83" w:type="dxa"/>
            <w:tcBorders/>
          </w:tcPr>
          <w:p>
            <w:pPr>
              <w:pStyle w:val="Normal"/>
              <w:snapToGrid w:val="false"/>
              <w:jc w:val="end"/>
              <w:rPr>
                <w:rFonts w:ascii="Arial" w:hAnsi="Arial" w:cs="Arial"/>
                <w:color w:val="000000"/>
              </w:rPr>
            </w:pPr>
            <w:r>
              <w:rPr>
                <w:rFonts w:cs="Arial" w:ascii="Arial" w:hAnsi="Arial"/>
                <w:color w:val="000000"/>
              </w:rPr>
            </w:r>
          </w:p>
        </w:tc>
        <w:tc>
          <w:tcPr>
            <w:tcW w:w="583"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44" w:type="dxa"/>
            <w:tcBorders/>
          </w:tcPr>
          <w:p>
            <w:pPr>
              <w:pStyle w:val="Normal"/>
              <w:snapToGrid w:val="false"/>
              <w:jc w:val="end"/>
              <w:rPr>
                <w:rFonts w:ascii="Arial" w:hAnsi="Arial" w:cs="Arial"/>
                <w:color w:val="000000"/>
              </w:rPr>
            </w:pPr>
            <w:r>
              <w:rPr>
                <w:rFonts w:cs="Arial" w:ascii="Arial" w:hAnsi="Arial"/>
                <w:color w:val="000000"/>
              </w:rPr>
            </w:r>
          </w:p>
        </w:tc>
        <w:tc>
          <w:tcPr>
            <w:tcW w:w="3256"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180" w:type="dxa"/>
            <w:tcBorders/>
          </w:tcPr>
          <w:p>
            <w:pPr>
              <w:pStyle w:val="Normal"/>
              <w:snapToGrid w:val="false"/>
              <w:jc w:val="end"/>
              <w:rPr>
                <w:rFonts w:ascii="Arial" w:hAnsi="Arial" w:cs="Arial"/>
                <w:color w:val="000000"/>
              </w:rPr>
            </w:pPr>
            <w:r>
              <w:rPr>
                <w:rFonts w:cs="Arial" w:ascii="Arial" w:hAnsi="Arial"/>
                <w:color w:val="000000"/>
              </w:rPr>
            </w:r>
          </w:p>
        </w:tc>
        <w:tc>
          <w:tcPr>
            <w:tcW w:w="1424"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750" w:type="dxa"/>
        <w:jc w:val="start"/>
        <w:tblInd w:w="0" w:type="dxa"/>
        <w:tblLayout w:type="fixed"/>
        <w:tblCellMar>
          <w:top w:w="0" w:type="dxa"/>
          <w:start w:w="30" w:type="dxa"/>
          <w:bottom w:w="0" w:type="dxa"/>
          <w:end w:w="30" w:type="dxa"/>
        </w:tblCellMar>
      </w:tblPr>
      <w:tblGrid>
        <w:gridCol w:w="2370"/>
        <w:gridCol w:w="90"/>
        <w:gridCol w:w="4680"/>
        <w:gridCol w:w="450"/>
        <w:gridCol w:w="2160"/>
      </w:tblGrid>
      <w:tr>
        <w:trPr>
          <w:trHeight w:val="250" w:hRule="atLeast"/>
        </w:trPr>
        <w:tc>
          <w:tcPr>
            <w:tcW w:w="2370" w:type="dxa"/>
            <w:tcBorders/>
          </w:tcPr>
          <w:p>
            <w:pPr>
              <w:pStyle w:val="Normal"/>
              <w:snapToGrid w:val="false"/>
              <w:jc w:val="center"/>
              <w:rPr>
                <w:rFonts w:ascii="Arial" w:hAnsi="Arial" w:cs="Arial"/>
                <w:b/>
                <w:color w:val="000000"/>
              </w:rPr>
            </w:pPr>
            <w:r>
              <w:rPr>
                <w:rFonts w:cs="Arial" w:ascii="Arial" w:hAnsi="Arial"/>
                <w:b/>
                <w:color w:val="000000"/>
              </w:rPr>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cPr>
          <w:p>
            <w:pPr>
              <w:pStyle w:val="Heading5"/>
              <w:ind w:hanging="0" w:start="0"/>
              <w:rPr/>
            </w:pPr>
            <w:r>
              <w:rPr/>
              <w:t>Approved By</w:t>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jc w:val="center"/>
              <w:rPr>
                <w:rFonts w:ascii="Arial" w:hAnsi="Arial" w:cs="Arial"/>
                <w:b/>
                <w:color w:val="000000"/>
              </w:rPr>
            </w:pPr>
            <w:r>
              <w:rPr>
                <w:rFonts w:cs="Arial" w:ascii="Arial" w:hAnsi="Arial"/>
                <w:b/>
                <w:color w:val="000000"/>
              </w:rPr>
              <w:t>Date:</w:t>
            </w:r>
          </w:p>
        </w:tc>
      </w:tr>
      <w:tr>
        <w:trPr>
          <w:trHeight w:val="250" w:hRule="atLeast"/>
        </w:trPr>
        <w:tc>
          <w:tcPr>
            <w:tcW w:w="2370" w:type="dxa"/>
            <w:tcBorders/>
          </w:tcPr>
          <w:p>
            <w:pPr>
              <w:pStyle w:val="Normal"/>
              <w:snapToGrid w:val="false"/>
              <w:jc w:val="end"/>
              <w:rPr>
                <w:rFonts w:ascii="Arial" w:hAnsi="Arial" w:cs="Arial"/>
                <w:b/>
                <w:color w:val="000000"/>
              </w:rPr>
            </w:pPr>
            <w:r>
              <w:rPr>
                <w:rFonts w:cs="Arial" w:ascii="Arial" w:hAnsi="Arial"/>
                <w:b/>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r>
        <w:trPr>
          <w:trHeight w:val="432" w:hRule="atLeast"/>
        </w:trPr>
        <w:tc>
          <w:tcPr>
            <w:tcW w:w="2370" w:type="dxa"/>
            <w:tcBorders/>
          </w:tcPr>
          <w:p>
            <w:pPr>
              <w:pStyle w:val="Normal"/>
              <w:jc w:val="end"/>
              <w:rPr>
                <w:rFonts w:ascii="Arial" w:hAnsi="Arial" w:cs="Arial"/>
                <w:b/>
                <w:color w:val="000000"/>
              </w:rPr>
            </w:pPr>
            <w:r>
              <w:rPr>
                <w:rFonts w:cs="Arial" w:ascii="Arial" w:hAnsi="Arial"/>
                <w:b/>
                <w:color w:val="000000"/>
              </w:rPr>
              <w:t xml:space="preserve">Rates-Certificates:    </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360" w:hRule="atLeast"/>
        </w:trPr>
        <w:tc>
          <w:tcPr>
            <w:tcW w:w="2370" w:type="dxa"/>
            <w:tcBorders/>
          </w:tcPr>
          <w:p>
            <w:pPr>
              <w:pStyle w:val="Normal"/>
              <w:jc w:val="end"/>
              <w:rPr>
                <w:rFonts w:ascii="Arial" w:hAnsi="Arial" w:cs="Arial"/>
                <w:b/>
                <w:color w:val="000000"/>
              </w:rPr>
            </w:pPr>
            <w:r>
              <w:rPr>
                <w:rFonts w:cs="Arial" w:ascii="Arial" w:hAnsi="Arial"/>
                <w:b/>
                <w:color w:val="000000"/>
              </w:rPr>
              <w:t>Marketing:</w:t>
            </w:r>
          </w:p>
          <w:p>
            <w:pPr>
              <w:pStyle w:val="Normal"/>
              <w:jc w:val="end"/>
              <w:rPr>
                <w:rFonts w:ascii="Arial" w:hAnsi="Arial" w:cs="Arial"/>
                <w:b/>
                <w:color w:val="000000"/>
              </w:rPr>
            </w:pPr>
            <w:r>
              <w:rPr>
                <w:rFonts w:cs="Arial" w:ascii="Arial" w:hAnsi="Arial"/>
                <w:b/>
                <w:color w:val="000000"/>
              </w:rPr>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22" w:hRule="atLeast"/>
        </w:trPr>
        <w:tc>
          <w:tcPr>
            <w:tcW w:w="2370" w:type="dxa"/>
            <w:tcBorders/>
          </w:tcPr>
          <w:p>
            <w:pPr>
              <w:pStyle w:val="Normal"/>
              <w:jc w:val="end"/>
              <w:rPr>
                <w:rFonts w:ascii="Arial" w:hAnsi="Arial" w:cs="Arial"/>
                <w:b/>
                <w:color w:val="000000"/>
              </w:rPr>
            </w:pPr>
            <w:r>
              <w:rPr>
                <w:rFonts w:cs="Arial" w:ascii="Arial" w:hAnsi="Arial"/>
                <w:b/>
                <w:color w:val="000000"/>
              </w:rPr>
              <w:t>Legal:</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r>
        <w:trPr>
          <w:trHeight w:val="450" w:hRule="atLeast"/>
        </w:trPr>
        <w:tc>
          <w:tcPr>
            <w:tcW w:w="2370" w:type="dxa"/>
            <w:tcBorders/>
          </w:tcPr>
          <w:p>
            <w:pPr>
              <w:pStyle w:val="Normal"/>
              <w:jc w:val="end"/>
              <w:rPr>
                <w:rFonts w:ascii="Arial" w:hAnsi="Arial" w:cs="Arial"/>
                <w:b/>
                <w:color w:val="000000"/>
              </w:rPr>
            </w:pPr>
            <w:r>
              <w:rPr>
                <w:rFonts w:cs="Arial" w:ascii="Arial" w:hAnsi="Arial"/>
                <w:b/>
                <w:color w:val="000000"/>
              </w:rPr>
              <w:t xml:space="preserve">Market Services:  </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40" w:hRule="atLeast"/>
        </w:trPr>
        <w:tc>
          <w:tcPr>
            <w:tcW w:w="2370" w:type="dxa"/>
            <w:tcBorders/>
          </w:tcPr>
          <w:p>
            <w:pPr>
              <w:pStyle w:val="Normal"/>
              <w:jc w:val="end"/>
              <w:rPr>
                <w:rFonts w:ascii="Arial" w:hAnsi="Arial" w:cs="Arial"/>
                <w:b/>
                <w:color w:val="000000"/>
              </w:rPr>
            </w:pPr>
            <w:r>
              <w:rPr>
                <w:rFonts w:cs="Arial" w:ascii="Arial" w:hAnsi="Arial"/>
                <w:b/>
                <w:color w:val="000000"/>
              </w:rPr>
              <w:t xml:space="preserve">(Gas Control)   </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r>
        <w:trPr>
          <w:trHeight w:val="360" w:hRule="atLeast"/>
        </w:trPr>
        <w:tc>
          <w:tcPr>
            <w:tcW w:w="2370" w:type="dxa"/>
            <w:tcBorders/>
          </w:tcPr>
          <w:p>
            <w:pPr>
              <w:pStyle w:val="Normal"/>
              <w:jc w:val="end"/>
              <w:rPr>
                <w:rFonts w:ascii="Arial" w:hAnsi="Arial" w:cs="Arial"/>
                <w:b/>
                <w:color w:val="000000"/>
              </w:rPr>
            </w:pPr>
            <w:r>
              <w:rPr>
                <w:rFonts w:cs="Arial" w:ascii="Arial" w:hAnsi="Arial"/>
                <w:b/>
                <w:color w:val="000000"/>
              </w:rPr>
              <w:t xml:space="preserve">Operations:  </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op w:val="single" w:sz="4" w:space="0" w:color="000000"/>
              <w:bottom w:val="single" w:sz="4" w:space="0" w:color="000000"/>
            </w:tcBorders>
          </w:tcPr>
          <w:p>
            <w:pPr>
              <w:pStyle w:val="Normal"/>
              <w:snapToGrid w:val="false"/>
              <w:rPr>
                <w:rFonts w:ascii="Arial" w:hAnsi="Arial" w:cs="Arial"/>
                <w:color w:val="000000"/>
              </w:rPr>
            </w:pPr>
            <w:r>
              <w:rPr>
                <w:rFonts w:cs="Arial" w:ascii="Arial" w:hAnsi="Arial"/>
                <w:color w:val="000000"/>
              </w:rPr>
            </w:r>
          </w:p>
        </w:tc>
        <w:tc>
          <w:tcPr>
            <w:tcW w:w="450" w:type="dxa"/>
            <w:tcBorders/>
          </w:tcPr>
          <w:p>
            <w:pPr>
              <w:pStyle w:val="Normal"/>
              <w:snapToGrid w:val="false"/>
              <w:jc w:val="center"/>
              <w:rPr>
                <w:rFonts w:ascii="Arial" w:hAnsi="Arial" w:cs="Arial"/>
                <w:color w:val="000000"/>
              </w:rPr>
            </w:pPr>
            <w:r>
              <w:rPr>
                <w:rFonts w:cs="Arial" w:ascii="Arial" w:hAnsi="Arial"/>
                <w:color w:val="000000"/>
              </w:rPr>
            </w:r>
          </w:p>
        </w:tc>
        <w:tc>
          <w:tcPr>
            <w:tcW w:w="216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413" w:hRule="atLeast"/>
        </w:trPr>
        <w:tc>
          <w:tcPr>
            <w:tcW w:w="2370" w:type="dxa"/>
            <w:tcBorders/>
          </w:tcPr>
          <w:p>
            <w:pPr>
              <w:pStyle w:val="Normal"/>
              <w:snapToGrid w:val="false"/>
              <w:jc w:val="end"/>
              <w:rPr>
                <w:rFonts w:ascii="Arial" w:hAnsi="Arial" w:cs="Arial"/>
                <w:b/>
                <w:color w:val="000000"/>
              </w:rPr>
            </w:pPr>
            <w:r>
              <w:rPr>
                <w:rFonts w:cs="Arial" w:ascii="Arial" w:hAnsi="Arial"/>
                <w:b/>
                <w:color w:val="000000"/>
              </w:rPr>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jc w:val="end"/>
              <w:rPr>
                <w:rFonts w:ascii="Arial" w:hAnsi="Arial" w:cs="Arial"/>
                <w:b/>
                <w:color w:val="000000"/>
              </w:rPr>
            </w:pPr>
            <w:r>
              <w:rPr>
                <w:rFonts w:cs="Arial" w:ascii="Arial" w:hAnsi="Arial"/>
                <w:b/>
                <w:color w:val="000000"/>
              </w:rPr>
              <w:t xml:space="preserve">Comments:  </w:t>
            </w:r>
          </w:p>
        </w:tc>
        <w:tc>
          <w:tcPr>
            <w:tcW w:w="90" w:type="dxa"/>
            <w:tcBorders/>
          </w:tcPr>
          <w:p>
            <w:pPr>
              <w:pStyle w:val="Normal"/>
              <w:snapToGrid w:val="false"/>
              <w:jc w:val="end"/>
              <w:rPr>
                <w:rFonts w:ascii="Arial" w:hAnsi="Arial" w:cs="Arial"/>
                <w:b/>
                <w:color w:val="000000"/>
              </w:rPr>
            </w:pPr>
            <w:r>
              <w:rPr>
                <w:rFonts w:cs="Arial" w:ascii="Arial" w:hAnsi="Arial"/>
                <w:b/>
                <w:color w:val="000000"/>
              </w:rPr>
            </w:r>
          </w:p>
        </w:tc>
        <w:tc>
          <w:tcPr>
            <w:tcW w:w="468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jc w:val="end"/>
              <w:rPr>
                <w:rFonts w:ascii="Arial" w:hAnsi="Arial" w:cs="Arial"/>
                <w:b/>
                <w:color w:val="000000"/>
              </w:rPr>
            </w:pPr>
            <w:r>
              <w:rPr>
                <w:rFonts w:cs="Arial" w:ascii="Arial" w:hAnsi="Arial"/>
                <w:b/>
                <w:color w:val="000000"/>
              </w:rPr>
              <w:t xml:space="preserve">By: </w:t>
            </w:r>
          </w:p>
        </w:tc>
        <w:tc>
          <w:tcPr>
            <w:tcW w:w="2160" w:type="dxa"/>
            <w:tcBorders/>
          </w:tcPr>
          <w:p>
            <w:pPr>
              <w:pStyle w:val="Normal"/>
              <w:snapToGrid w:val="false"/>
              <w:jc w:val="end"/>
              <w:rPr>
                <w:rFonts w:ascii="Arial" w:hAnsi="Arial" w:cs="Arial"/>
                <w:b/>
                <w:color w:val="000000"/>
              </w:rPr>
            </w:pPr>
            <w:r>
              <w:rPr>
                <w:rFonts w:cs="Arial" w:ascii="Arial" w:hAnsi="Arial"/>
                <w:b/>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op w:val="single" w:sz="4" w:space="0" w:color="000000"/>
            </w:tcBorders>
          </w:tcPr>
          <w:p>
            <w:pPr>
              <w:pStyle w:val="Normal"/>
              <w:snapToGrid w:val="false"/>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op w:val="single" w:sz="4" w:space="0" w:color="000000"/>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jc w:val="end"/>
              <w:rPr>
                <w:rFonts w:ascii="Arial" w:hAnsi="Arial" w:cs="Arial"/>
                <w:color w:val="000000"/>
              </w:rPr>
            </w:pPr>
            <w:r>
              <w:rPr>
                <w:rFonts w:cs="Arial" w:ascii="Arial" w:hAnsi="Arial"/>
                <w:color w:val="000000"/>
              </w:rPr>
            </w:r>
          </w:p>
        </w:tc>
        <w:tc>
          <w:tcPr>
            <w:tcW w:w="4680" w:type="dxa"/>
            <w:tcBorders/>
          </w:tcPr>
          <w:p>
            <w:pPr>
              <w:pStyle w:val="Normal"/>
              <w:snapToGrid w:val="false"/>
              <w:jc w:val="end"/>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370" w:type="dxa"/>
            <w:tcBorders/>
          </w:tcPr>
          <w:p>
            <w:pPr>
              <w:pStyle w:val="Normal"/>
              <w:snapToGrid w:val="false"/>
              <w:jc w:val="end"/>
              <w:rPr>
                <w:rFonts w:ascii="Arial" w:hAnsi="Arial" w:cs="Arial"/>
                <w:color w:val="000000"/>
              </w:rPr>
            </w:pPr>
            <w:r>
              <w:rPr>
                <w:rFonts w:cs="Arial" w:ascii="Arial" w:hAnsi="Arial"/>
                <w:color w:val="000000"/>
              </w:rPr>
            </w:r>
          </w:p>
        </w:tc>
        <w:tc>
          <w:tcPr>
            <w:tcW w:w="90" w:type="dxa"/>
            <w:tcBorders/>
          </w:tcPr>
          <w:p>
            <w:pPr>
              <w:pStyle w:val="Normal"/>
              <w:snapToGrid w:val="false"/>
              <w:rPr>
                <w:rFonts w:ascii="Arial" w:hAnsi="Arial" w:cs="Arial"/>
                <w:color w:val="000000"/>
              </w:rPr>
            </w:pPr>
            <w:r>
              <w:rPr>
                <w:rFonts w:cs="Arial" w:ascii="Arial" w:hAnsi="Arial"/>
                <w:color w:val="000000"/>
              </w:rPr>
            </w:r>
          </w:p>
        </w:tc>
        <w:tc>
          <w:tcPr>
            <w:tcW w:w="4680" w:type="dxa"/>
            <w:tcBorders/>
          </w:tcPr>
          <w:p>
            <w:pPr>
              <w:pStyle w:val="Normal"/>
              <w:snapToGrid w:val="false"/>
              <w:rPr>
                <w:rFonts w:ascii="Arial" w:hAnsi="Arial" w:cs="Arial"/>
                <w:color w:val="000000"/>
              </w:rPr>
            </w:pPr>
            <w:r>
              <w:rPr>
                <w:rFonts w:cs="Arial" w:ascii="Arial" w:hAnsi="Arial"/>
                <w:color w:val="000000"/>
              </w:rPr>
            </w:r>
          </w:p>
        </w:tc>
        <w:tc>
          <w:tcPr>
            <w:tcW w:w="450" w:type="dxa"/>
            <w:tcBorders/>
          </w:tcPr>
          <w:p>
            <w:pPr>
              <w:pStyle w:val="Normal"/>
              <w:snapToGrid w:val="false"/>
              <w:jc w:val="end"/>
              <w:rPr>
                <w:rFonts w:ascii="Arial" w:hAnsi="Arial" w:cs="Arial"/>
                <w:color w:val="000000"/>
              </w:rPr>
            </w:pPr>
            <w:r>
              <w:rPr>
                <w:rFonts w:cs="Arial" w:ascii="Arial" w:hAnsi="Arial"/>
                <w:color w:val="000000"/>
              </w:rPr>
            </w:r>
          </w:p>
        </w:tc>
        <w:tc>
          <w:tcPr>
            <w:tcW w:w="2160" w:type="dxa"/>
            <w:tcBorders/>
          </w:tcPr>
          <w:p>
            <w:pPr>
              <w:pStyle w:val="Normal"/>
              <w:snapToGrid w:val="false"/>
              <w:jc w:val="end"/>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color w:val="000000"/>
        </w:rPr>
        <w:t>Please return to the Omaha Planning Team</w:t>
      </w:r>
    </w:p>
    <w:p>
      <w:pPr>
        <w:pStyle w:val="Normal"/>
        <w:jc w:val="both"/>
        <w:rPr>
          <w:rFonts w:ascii="Arial" w:hAnsi="Arial" w:cs="Arial"/>
        </w:rPr>
      </w:pPr>
      <w:r>
        <w:rPr>
          <w:rFonts w:cs="Arial" w:ascii="Arial" w:hAnsi="Arial"/>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pPr>
    <w:r>
      <w:rPr/>
      <w:t>Revision effective: November 1,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pPr>
    <w:r>
      <w:rPr/>
      <w:t>Revision effective: November 1,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bCs/>
      </w:rPr>
      <w:t>*</w:t>
    </w:r>
    <w:r>
      <w:rPr/>
      <w:t xml:space="preserve"> The “Max Approved Capacity” is not an indication that capacity is available.  It is simply a volume limit which has been approved by management.  Once a group or point on the system has been approved for the sale of STSC (including Daily Capacity), the level of capacity up to the approved level shall be determined by Omaha Planning and Gas Control.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Posting requirements are satisfied through the reports described herein.</w:t>
      </w:r>
    </w:p>
  </w:footnote>
  <w:footnote w:id="3">
    <w:p>
      <w:pPr>
        <w:pStyle w:val="FootnoteText"/>
        <w:rPr/>
      </w:pPr>
      <w:r>
        <w:rPr>
          <w:rStyle w:val="FootnoteCharacters"/>
        </w:rPr>
        <w:footnoteRef/>
      </w:r>
      <w:r>
        <w:rPr/>
        <w:t xml:space="preserve">  </w:t>
      </w:r>
      <w:r>
        <w:rPr/>
        <w:t>However, these reports are updated late on Friday afternoons for Saturday postings.  Currently, these reports are not updated for Sunday’s gas day.</w:t>
      </w:r>
    </w:p>
  </w:footnote>
  <w:footnote w:id="4">
    <w:p>
      <w:pPr>
        <w:pStyle w:val="FootnoteText"/>
        <w:rPr/>
      </w:pPr>
      <w:r>
        <w:rPr>
          <w:rStyle w:val="FootnoteCharacters"/>
        </w:rPr>
        <w:footnoteRef/>
      </w:r>
      <w:r>
        <w:rPr/>
        <w:t xml:space="preserve">  </w:t>
      </w:r>
      <w:r>
        <w:rPr/>
        <w:t>STSC may be posted at points that are nearly sold out.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u w:val="single"/>
      </w:rPr>
    </w:pPr>
    <w:r>
      <w:rPr>
        <w:b/>
        <w:bCs/>
        <w:sz w:val="24"/>
        <w:u w:val="single"/>
      </w:rPr>
      <w:t>For Internal Use Only</w:t>
    </w:r>
  </w:p>
  <w:p>
    <w:pPr>
      <w:pStyle w:val="Heading"/>
      <w:rPr>
        <w:b w:val="false"/>
        <w:bCs/>
        <w:sz w:val="24"/>
        <w:u w:val="single"/>
      </w:rPr>
    </w:pPr>
    <w:r>
      <w:rPr>
        <w:b w:val="false"/>
        <w:bCs/>
        <w:sz w:val="24"/>
        <w:u w:val="single"/>
      </w:rPr>
    </w:r>
  </w:p>
  <w:p>
    <w:pPr>
      <w:pStyle w:val="Heading"/>
      <w:rPr/>
    </w:pPr>
    <w:r>
      <w:rPr/>
      <w:t>NORTHERN NATURAL GAS COMPANY</w:t>
    </w:r>
  </w:p>
  <w:p>
    <w:pPr>
      <w:pStyle w:val="Normal"/>
      <w:jc w:val="center"/>
      <w:rPr>
        <w:b/>
        <w:sz w:val="24"/>
      </w:rPr>
    </w:pPr>
    <w:r>
      <w:rPr>
        <w:b/>
        <w:sz w:val="24"/>
      </w:rPr>
      <w:t>CAPACITY POSTING PROCEDURES</w:t>
    </w:r>
  </w:p>
  <w:p>
    <w:pPr>
      <w:pStyle w:val="Header"/>
      <w:jc w:val="end"/>
      <w:rPr>
        <w:b/>
        <w:bCs/>
        <w:sz w:val="24"/>
        <w:u w:val="single"/>
      </w:rPr>
    </w:pPr>
    <w:r>
      <w:rPr>
        <w:b/>
        <w:bCs/>
        <w:sz w:val="24"/>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u w:val="single"/>
      </w:rPr>
    </w:pPr>
    <w:r>
      <w:rPr>
        <w:b/>
        <w:bCs/>
        <w:sz w:val="24"/>
        <w:u w:val="single"/>
      </w:rPr>
      <w:t>Exhibit 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u w:val="single"/>
      </w:rPr>
    </w:pPr>
    <w:r>
      <w:rPr>
        <w:b/>
        <w:bCs/>
        <w:sz w:val="24"/>
        <w:u w:val="single"/>
      </w:rPr>
      <w:t>Exhibit B</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abstractNum w:abstractNumId="4">
    <w:lvl w:ilvl="0">
      <w:start w:val="1"/>
      <w:numFmt w:val="decimal"/>
      <w:lvlText w:val="%1."/>
      <w:lvlJc w:val="start"/>
      <w:pPr>
        <w:tabs>
          <w:tab w:val="num" w:pos="1440"/>
        </w:tabs>
        <w:ind w:start="1440" w:hanging="360"/>
      </w:pPr>
    </w:lvl>
    <w:lvl w:ilvl="1">
      <w:start w:val="2"/>
      <w:numFmt w:val="lowerLetter"/>
      <w:lvlText w:val="(%2)"/>
      <w:lvlJc w:val="start"/>
      <w:pPr>
        <w:tabs>
          <w:tab w:val="num" w:pos="2250"/>
        </w:tabs>
        <w:ind w:start="2250" w:hanging="450"/>
      </w:pPr>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u w:val="single"/>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jc w:val="both"/>
      <w:outlineLvl w:val="3"/>
    </w:pPr>
    <w:rPr>
      <w:b/>
      <w:bCs/>
      <w:sz w:val="24"/>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00"/>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ind w:hanging="0" w:start="360" w:end="0"/>
      <w:jc w:val="both"/>
      <w:outlineLvl w:val="6"/>
    </w:pPr>
    <w:rPr>
      <w:b/>
      <w:bCs/>
      <w:sz w:val="24"/>
    </w:rPr>
  </w:style>
  <w:style w:type="paragraph" w:styleId="Heading8">
    <w:name w:val="heading 8"/>
    <w:basedOn w:val="Normal"/>
    <w:next w:val="Normal"/>
    <w:qFormat/>
    <w:pPr>
      <w:keepNext w:val="true"/>
      <w:numPr>
        <w:ilvl w:val="7"/>
        <w:numId w:val="1"/>
      </w:numPr>
      <w:ind w:hanging="0" w:start="0" w:end="-720"/>
      <w:jc w:val="center"/>
      <w:outlineLvl w:val="7"/>
    </w:pPr>
    <w:rPr>
      <w:rFonts w:ascii="Arial" w:hAnsi="Arial" w:cs="Arial"/>
      <w:b/>
      <w:sz w:val="24"/>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rPr>
  </w:style>
  <w:style w:type="character" w:styleId="WW8Num29z0">
    <w:name w:val="WW8Num29z0"/>
    <w:qFormat/>
    <w:rPr>
      <w:rFonts w:ascii="Symbol" w:hAnsi="Symbol" w:cs="Symbol"/>
    </w:rPr>
  </w:style>
  <w:style w:type="character" w:styleId="WW8Num30z1">
    <w:name w:val="WW8Num30z1"/>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4"/>
    </w:rPr>
  </w:style>
  <w:style w:type="paragraph" w:styleId="BodyTextIndent2">
    <w:name w:val="Body Text Indent 2"/>
    <w:basedOn w:val="Normal"/>
    <w:qFormat/>
    <w:pPr>
      <w:ind w:hanging="0" w:start="720" w:end="0"/>
      <w:jc w:val="both"/>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2001-10-30T21:00:00Z</dcterms:created>
  <dc:creator>..</dc:creator>
  <dc:description/>
  <dc:language>en-CA</dc:language>
  <cp:lastModifiedBy>mwincko</cp:lastModifiedBy>
  <cp:lastPrinted>2001-11-07T13:34:00Z</cp:lastPrinted>
  <dcterms:modified xsi:type="dcterms:W3CDTF">2001-11-07T18:30:00Z</dcterms:modified>
  <cp:revision>19</cp:revision>
  <dc:subject/>
  <dc:title>NORTHERN NATURAL GAS COMPANY</dc:title>
</cp:coreProperties>
</file>