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4"/>
        </w:rPr>
      </w:pPr>
      <w:r>
        <w:rPr>
          <w:sz w:val="24"/>
        </w:rPr>
        <w:t>L. Marlow Anderson</w:t>
      </w:r>
    </w:p>
    <w:p>
      <w:pPr>
        <w:pStyle w:val="Normal"/>
        <w:jc w:val="end"/>
        <w:rPr>
          <w:sz w:val="24"/>
        </w:rPr>
      </w:pPr>
      <w:r>
        <w:rPr>
          <w:sz w:val="24"/>
        </w:rPr>
        <w:t>MGMT 6344</w:t>
      </w:r>
    </w:p>
    <w:p>
      <w:pPr>
        <w:pStyle w:val="Normal"/>
        <w:jc w:val="end"/>
        <w:rPr>
          <w:sz w:val="24"/>
        </w:rPr>
      </w:pPr>
      <w:r>
        <w:rPr>
          <w:sz w:val="24"/>
        </w:rPr>
        <w:t>May 11, 1999</w:t>
      </w:r>
    </w:p>
    <w:p>
      <w:pPr>
        <w:pStyle w:val="Normal"/>
        <w:jc w:val="end"/>
        <w:rPr>
          <w:sz w:val="24"/>
        </w:rPr>
      </w:pPr>
      <w:r>
        <w:rPr>
          <w:sz w:val="24"/>
        </w:rPr>
      </w:r>
    </w:p>
    <w:p>
      <w:pPr>
        <w:pStyle w:val="Heading1"/>
        <w:ind w:hanging="0" w:start="0"/>
        <w:rPr>
          <w:sz w:val="24"/>
        </w:rPr>
      </w:pPr>
      <w:r>
        <w:rPr>
          <w:sz w:val="24"/>
        </w:rPr>
        <w:t>Post-Acquisition Culture Management</w:t>
      </w:r>
    </w:p>
    <w:p>
      <w:pPr>
        <w:pStyle w:val="Normal"/>
        <w:jc w:val="center"/>
        <w:rPr>
          <w:b/>
          <w:sz w:val="24"/>
        </w:rPr>
      </w:pPr>
      <w:r>
        <w:rPr>
          <w:b/>
          <w:sz w:val="24"/>
        </w:rPr>
      </w:r>
    </w:p>
    <w:p>
      <w:pPr>
        <w:pStyle w:val="Heading3"/>
        <w:ind w:hanging="0" w:start="0"/>
        <w:rPr/>
      </w:pPr>
      <w:r>
        <w:rPr/>
        <w:t>Introduction</w:t>
      </w:r>
    </w:p>
    <w:p>
      <w:pPr>
        <w:pStyle w:val="Normal"/>
        <w:spacing w:lineRule="auto" w:line="480"/>
        <w:rPr>
          <w:sz w:val="24"/>
        </w:rPr>
      </w:pPr>
      <w:r>
        <w:rPr>
          <w:sz w:val="24"/>
        </w:rPr>
        <w:t xml:space="preserve">     </w:t>
      </w:r>
      <w:r>
        <w:rPr>
          <w:sz w:val="24"/>
        </w:rPr>
        <w:t xml:space="preserve">The decade of the 1980’s is well known in the business world as the decade of  “merger mania”.   During this timeframe, acquisitions in the United States totaled $1.3 trillion (Hitt, Ireland, &amp; Hoskisson, 1999).  While this number is impressive, we have entered into a new era of mergers and acquisitions that are unparalleled.  According to Securities Data Co., the first two quarters of 1998 alone brought more than $1.3 trillion in merger activity across the globe (Solomon, 1998).   This new global competitive landscape that businesses face make mergers and acquisitions not only appealing, but a necessity for survival.  It is important to note that this author found minimal distinction between acquisition and merger culture management in the literature.  It is often difficult to discern between the two business strategies because reality indicates that a merger company with the greatest ownership often mimics the role of an acquiring company.  </w:t>
      </w:r>
    </w:p>
    <w:p>
      <w:pPr>
        <w:pStyle w:val="Normal"/>
        <w:spacing w:lineRule="auto" w:line="480"/>
        <w:rPr>
          <w:sz w:val="24"/>
        </w:rPr>
      </w:pPr>
      <w:r>
        <w:rPr>
          <w:sz w:val="24"/>
        </w:rPr>
        <w:t xml:space="preserve">     </w:t>
      </w:r>
      <w:r>
        <w:rPr>
          <w:sz w:val="24"/>
        </w:rPr>
        <w:t xml:space="preserve">Firms pursue an acquisition strategy to gain competitive advantage for the following reasons: to increase market share, to overcome barriers to entry, to increase the speed of market entry, to reduce the costs involved in developing new products, technology, and services, to avoid the risks associated with developing new products, technology, and services, to reduce overall company costs, to achieve diversification, and to avoid/reduce competition (Hitt, Ireland, &amp;  Hoskisson, 1999).  Firms accomplish these strategies through three acquisition approaches- horizontal, vertical, or related acquisition.  </w:t>
      </w:r>
    </w:p>
    <w:p>
      <w:pPr>
        <w:pStyle w:val="Normal"/>
        <w:spacing w:lineRule="auto" w:line="480"/>
        <w:rPr>
          <w:sz w:val="24"/>
        </w:rPr>
      </w:pPr>
      <w:r>
        <w:rPr>
          <w:sz w:val="24"/>
        </w:rPr>
        <w:t xml:space="preserve">     </w:t>
      </w:r>
      <w:r>
        <w:rPr>
          <w:sz w:val="24"/>
        </w:rPr>
        <w:t xml:space="preserve">Consulting firms specializing in acquisitions and mergers have additional statistics that are worth noting.  These figures state the darker side of the business that many neglect, the failures of these “mega” deals.   “Fifty percent of all mergers and acquisitions fail” according to Kevin Rubens, senior vice-president of Aon Consulting Worldwide.  These numbers are also cited by Harvard researcher Michael Porter, 1996 research conducted by Coopers &amp; Lybrand, and 1998 research conducted by A.T. Kearney  (Solomon, 1998 and Neilsen, 1998).  </w:t>
      </w:r>
    </w:p>
    <w:p>
      <w:pPr>
        <w:pStyle w:val="Normal"/>
        <w:spacing w:lineRule="auto" w:line="480"/>
        <w:rPr>
          <w:sz w:val="24"/>
        </w:rPr>
      </w:pPr>
      <w:r>
        <w:rPr>
          <w:sz w:val="24"/>
        </w:rPr>
        <w:t xml:space="preserve">     </w:t>
      </w:r>
      <w:r>
        <w:rPr>
          <w:sz w:val="24"/>
        </w:rPr>
        <w:t xml:space="preserve">The root cause of an acquisition failure can include integration difficulties (including culture), inadequate evaluation of target, large or extraordinary debt, inability to achieve synergy (culture-related), too much diversification, too large, and managers overly focused on acquisitions (Hitt, Ireland, &amp;  Hoskisson, 1999).  Essentially, the initial business deal focuses on the financial and legal issues, neglecting the human asset element, which is the most critical component for success.  </w:t>
      </w:r>
    </w:p>
    <w:p>
      <w:pPr>
        <w:pStyle w:val="Normal"/>
        <w:spacing w:lineRule="auto" w:line="480"/>
        <w:rPr>
          <w:sz w:val="24"/>
        </w:rPr>
      </w:pPr>
      <w:r>
        <w:rPr>
          <w:sz w:val="24"/>
        </w:rPr>
        <w:t xml:space="preserve">     </w:t>
      </w:r>
      <w:r>
        <w:rPr>
          <w:sz w:val="24"/>
        </w:rPr>
        <w:t xml:space="preserve">Several studies indicate the importance of incorporating corporate culture into this type of business equation.  A 1992 Coopers &amp; Lybrand study revealed that 85% of executives of 100 companies with failed or troubled mergers attributed the failure to differences in management style and practices.  A 1996 British Institute of Management polled executives involved in failed acquisitions and concluded the failure was due to an underestimation of difficulties in merging two company cultures (Carleton, 1997).  A recent Watson Wyatt Worldwide executive survey showed that more than 50% identified integration of corporate cultures as being critical to a merger and acquisition integration plan (Global, 1999).  Evidence of culture management correlating to profits and business success is documented in a 1992 book Corporate Culture and Performance by John Kotter and James Heskett.  They reported these staggering comparisons of companies that managed their culture and those that did not: “revenue increases of 682 percent vs. 166 percent; stock prices increases of 901 percent vs. 74 percent; and net income increases of 756 percent vs. 1 percent” (Carleton, 1997). </w:t>
      </w:r>
    </w:p>
    <w:p>
      <w:pPr>
        <w:pStyle w:val="Normal"/>
        <w:spacing w:lineRule="auto" w:line="480"/>
        <w:rPr>
          <w:sz w:val="24"/>
        </w:rPr>
      </w:pPr>
      <w:r>
        <w:rPr>
          <w:sz w:val="24"/>
        </w:rPr>
        <w:t xml:space="preserve">     </w:t>
      </w:r>
      <w:r>
        <w:rPr>
          <w:sz w:val="24"/>
        </w:rPr>
        <w:t>The initial oversight or mismanagement of company culture integration can lead to high employee turnover, loss of key talent, poor customer service, loss of customer base, reduced productivity, and eventually lower financial results.  It is imperative that corporations elevate culture integration management as a key strategy within the overall post-acquisition integration.</w:t>
      </w:r>
    </w:p>
    <w:p>
      <w:pPr>
        <w:pStyle w:val="Heading3"/>
        <w:ind w:hanging="0" w:start="0"/>
        <w:rPr/>
      </w:pPr>
      <w:r>
        <w:rPr/>
        <w:t>Strategies for Post-Acquisition Culture Management</w:t>
      </w:r>
    </w:p>
    <w:p>
      <w:pPr>
        <w:pStyle w:val="BodyText"/>
        <w:spacing w:lineRule="auto" w:line="480"/>
        <w:rPr/>
      </w:pPr>
      <w:r>
        <w:rPr/>
        <w:t xml:space="preserve">     </w:t>
      </w:r>
      <w:r>
        <w:rPr/>
        <w:t xml:space="preserve">Strategies for post-acquisition culture management include imposing the acquiring company culture onto the newly acquired company, allowing the two companies to maintain their distinct cultures, or allowing for the evolvement and creation of a new culture (Gilbert, 1995).  </w:t>
      </w:r>
    </w:p>
    <w:p>
      <w:pPr>
        <w:pStyle w:val="BodyText"/>
        <w:spacing w:lineRule="auto" w:line="480"/>
        <w:rPr/>
      </w:pPr>
      <w:r>
        <w:rPr/>
        <w:t xml:space="preserve">     </w:t>
      </w:r>
      <w:r>
        <w:rPr/>
        <w:t>The overall post-acquisition integration environment will provide direction as to the appropriate strategy for post-acquisition culture management.   Two levels of the overall post-acquisition strategy need to be addressed, the operating environment and the approach to achieving that desired operating environment.  The possible operating scenarios can include:</w:t>
      </w:r>
    </w:p>
    <w:p>
      <w:pPr>
        <w:pStyle w:val="BodyText"/>
        <w:numPr>
          <w:ilvl w:val="0"/>
          <w:numId w:val="2"/>
        </w:numPr>
        <w:spacing w:lineRule="auto" w:line="480"/>
        <w:rPr/>
      </w:pPr>
      <w:r>
        <w:rPr/>
        <w:t>The acquired company will operate as a stand-alone business</w:t>
      </w:r>
    </w:p>
    <w:p>
      <w:pPr>
        <w:pStyle w:val="BodyText"/>
        <w:numPr>
          <w:ilvl w:val="0"/>
          <w:numId w:val="2"/>
        </w:numPr>
        <w:spacing w:lineRule="auto" w:line="480"/>
        <w:rPr/>
      </w:pPr>
      <w:r>
        <w:rPr/>
        <w:t>The acquired company will operate as a stand-alone business with a strategic change</w:t>
      </w:r>
    </w:p>
    <w:p>
      <w:pPr>
        <w:pStyle w:val="BodyText"/>
        <w:numPr>
          <w:ilvl w:val="0"/>
          <w:numId w:val="2"/>
        </w:numPr>
        <w:spacing w:lineRule="auto" w:line="480"/>
        <w:rPr/>
      </w:pPr>
      <w:r>
        <w:rPr/>
        <w:t>The acquired company will be partially integrated with the acquiring company</w:t>
      </w:r>
    </w:p>
    <w:p>
      <w:pPr>
        <w:pStyle w:val="BodyText"/>
        <w:numPr>
          <w:ilvl w:val="0"/>
          <w:numId w:val="2"/>
        </w:numPr>
        <w:spacing w:lineRule="auto" w:line="480"/>
        <w:rPr/>
      </w:pPr>
      <w:r>
        <w:rPr/>
        <w:t>The acquired company will be fully integrated with the acquiring company</w:t>
      </w:r>
    </w:p>
    <w:p>
      <w:pPr>
        <w:pStyle w:val="BodyText"/>
        <w:numPr>
          <w:ilvl w:val="0"/>
          <w:numId w:val="2"/>
        </w:numPr>
        <w:spacing w:lineRule="auto" w:line="480"/>
        <w:rPr/>
      </w:pPr>
      <w:r>
        <w:rPr/>
        <w:t>The acquired company’s existing business is completely taken over and moved into the acquiring company’s operations</w:t>
      </w:r>
    </w:p>
    <w:p>
      <w:pPr>
        <w:pStyle w:val="BodyText"/>
        <w:numPr>
          <w:ilvl w:val="0"/>
          <w:numId w:val="2"/>
        </w:numPr>
        <w:spacing w:lineRule="auto" w:line="480"/>
        <w:rPr/>
      </w:pPr>
      <w:r>
        <w:rPr/>
        <w:t xml:space="preserve">The acquired company and the acquiring company become a new organization  </w:t>
      </w:r>
    </w:p>
    <w:p>
      <w:pPr>
        <w:pStyle w:val="BodyText"/>
        <w:spacing w:lineRule="auto" w:line="480"/>
        <w:rPr/>
      </w:pPr>
      <w:r>
        <w:rPr/>
        <w:t>(Sirower, 1998 and  Sierra, 1997)</w:t>
      </w:r>
    </w:p>
    <w:p>
      <w:pPr>
        <w:pStyle w:val="BodyText"/>
        <w:spacing w:lineRule="auto" w:line="480"/>
        <w:rPr/>
      </w:pPr>
      <w:r>
        <w:rPr/>
        <w:t xml:space="preserve">     </w:t>
      </w:r>
      <w:r>
        <w:rPr/>
        <w:t xml:space="preserve">The second element, the approach to reaching the desired operating environment, can be either a quick transition or an evolving one.  A third consideration that needs to be considered is the variance between the two companies’ current cultures.  With these data points, the acquiring company can then select the most appropriate strategy to use for post-acquisition culture management.  </w:t>
      </w:r>
    </w:p>
    <w:p>
      <w:pPr>
        <w:pStyle w:val="BodyText"/>
        <w:spacing w:lineRule="auto" w:line="480"/>
        <w:rPr/>
      </w:pPr>
      <w:r>
        <w:rPr/>
        <w:t xml:space="preserve">     </w:t>
      </w:r>
      <w:r>
        <w:rPr/>
        <w:t xml:space="preserve">If the two cultures have wide variances and the companies are to operate as stand-alone businesses, the optimum strategy may be for the acquiring company to allow separate cultures to exist.   The strategy may shift to imposing the acquired company culture at a quick pace if the two cultures differ yet the companies are to be partially or fully integrated operations.  A strategy to allow the creation and evolvement of a new culture may be taken if the two companies culture vary dramatically and are to become a new organization, partially, or fully integrated businesses.  Any of these strategies can also be used if there is minimal culture disparity.  These examples show that there is a multitude of strategy possibilities.  It is important to note that the literature recommended that for a complete takeover of culture, the most efficient approach is a speedy transition (Sierra, 1997 and Solomon, 1998).  Personnel loss is inevitable with this approach, but it is effective due to the minimum loss of productivity.  The key for the strategy will depend on the acquiring company’s overall objective and the specific situation.  </w:t>
      </w:r>
    </w:p>
    <w:p>
      <w:pPr>
        <w:pStyle w:val="BodyText"/>
        <w:spacing w:lineRule="auto" w:line="480"/>
        <w:rPr>
          <w:u w:val="single"/>
        </w:rPr>
      </w:pPr>
      <w:r>
        <w:rPr>
          <w:u w:val="single"/>
        </w:rPr>
        <w:t xml:space="preserve">Tools for Post-Acquisition Culture Management     </w:t>
      </w:r>
    </w:p>
    <w:p>
      <w:pPr>
        <w:pStyle w:val="BodyText"/>
        <w:spacing w:lineRule="auto" w:line="480"/>
        <w:rPr/>
      </w:pPr>
      <w:r>
        <w:rPr/>
        <w:t xml:space="preserve">     </w:t>
      </w:r>
      <w:r>
        <w:rPr/>
        <w:t xml:space="preserve">One of the greatest challenges in an acquisition is the post-acquisition management of culture no matter which strategy is selected.  The following discussion provides the tools for successful integration and management of the fundamental foundation of the new organization. </w:t>
      </w:r>
    </w:p>
    <w:p>
      <w:pPr>
        <w:pStyle w:val="BodyText2"/>
        <w:rPr/>
      </w:pPr>
      <w:r>
        <w:rPr/>
        <w:t xml:space="preserve">     </w:t>
      </w:r>
      <w:r>
        <w:rPr>
          <w:i w:val="false"/>
        </w:rPr>
        <w:t>Top management support is most critical in developing, planning, and executing the culture integration process. Typically, top executives delegate culture management to middle</w:t>
      </w:r>
      <w:r>
        <w:rPr/>
        <w:t xml:space="preserve"> </w:t>
      </w:r>
      <w:r>
        <w:rPr>
          <w:i w:val="false"/>
        </w:rPr>
        <w:t>management, which can lead to failure.  Teams of key executives with middle management and Human Resource advisors should be established early on to provide appropriate insights for a successful and smooth transition (Reece, 1996).  An initial assessment of both company cultures is imperative as a building block to some policies and procedures of the new organization.  The assessment will assist in determining which cultural issues will potentially conflict with the business strategies of the new organization.  It is recommended that the cultural due diligence obtain operational and behavioral data in twelve areas: the companies’ business plans, key measures, key business drivers, infrastructure, organizational practices, leadership/management practices, supervisory practices, work practices, technology use, physical environment, employee perceptions and expectations, and cultural indicators and artifacts (Carleton, 1997).</w:t>
      </w:r>
      <w:r>
        <w:rPr/>
        <w:t xml:space="preserve">  </w:t>
      </w:r>
      <w:r>
        <w:rPr>
          <w:i w:val="false"/>
        </w:rPr>
        <w:t>Additional data to obtain as part of the due diligence effort may include employee composition, key employee talent, compensation, and benefits information (Clement &amp; Greenspan, 1999).  This is a powerful tool for establishing a baseline, organizational self-reflection and insight in order to lay the groundwork for designing effective integration initiatives.</w:t>
      </w:r>
    </w:p>
    <w:p>
      <w:pPr>
        <w:pStyle w:val="BodyText"/>
        <w:spacing w:lineRule="auto" w:line="480"/>
        <w:rPr/>
      </w:pPr>
      <w:r>
        <w:rPr/>
        <w:t xml:space="preserve">     </w:t>
      </w:r>
      <w:r>
        <w:rPr/>
        <w:t xml:space="preserve">Management integration initiatives should include providing a clear vision and strategy to the new organization.  The initial cultural assessment will allow management to construct a framework for the new organization’s culture.  In addition, it will allow two key questions to be answered: When will problems of conflict and cooperation arise? And how will they be solved? (Sirower, 1998).   </w:t>
      </w:r>
    </w:p>
    <w:p>
      <w:pPr>
        <w:pStyle w:val="BodyText"/>
        <w:spacing w:lineRule="auto" w:line="480"/>
        <w:rPr/>
      </w:pPr>
      <w:r>
        <w:rPr/>
        <w:t xml:space="preserve">     </w:t>
      </w:r>
      <w:r>
        <w:rPr/>
        <w:t>As part of the initial integration development, management teams should also construct workforce management strategy to maintain productivity.  The strategy can include policies and procedures such as initiating recognition programs and time-saving technologies, and conducting team-building activities (Solomon, 1998).  Retention strategies are also critical for management development early on in the process.</w:t>
      </w:r>
    </w:p>
    <w:p>
      <w:pPr>
        <w:pStyle w:val="BodyText"/>
        <w:spacing w:lineRule="auto" w:line="480"/>
        <w:rPr/>
      </w:pPr>
      <w:r>
        <w:rPr/>
        <w:t xml:space="preserve">     </w:t>
      </w:r>
      <w:r>
        <w:rPr/>
        <w:t xml:space="preserve">Effective communication must occur from the pre-acquisition phase and throughout the integration phase in order to reduce employee resistance, maintain productivity and employee morale, and dispel rumors. Communication must be early, frequent, well-timed, honest, and convey a positive and consistent message regarding the acquisition. It is important that employees hear news internally first rather than from the media.  Employees must understand the business reasons for the acquisition to begin accepting the change.  Clear expectations and priorities need to be explained as early as the pre-acquisition phase to keep employees focused.  Employees are most concerned with how the acquisition will affect them personally.  They need to understand what their new role and responsibilities are in the new organization as early as possible in the process (Troiano, 1999).  Lainchen Friese of Hewitt Associates’ mergers and acquisitions team leader for communication states that “getting them (leaders) out in front of the troops” at the time of the announcement and during the transition and establishing a connection with the staff is critical to the acquisition success (Troiano, 1999).   It is recommended that communication should be conducted in small groups to allow sufficient opportunity for employees to ask questions and provide feedback to managers (Solomon, 1998).  Other communication avenues can be speeches, videotapes, newsletters, lobby displays, and direct mail (Reece, 1996).  A successful approach within Mobil Oil has been through an established Intranet website for announcements as well as a vehicle to answer questions.  All questions and answers are published on the website by subject matter.  Management needs to put aside their own concerns to address employee fears, confusion, and threats (Holbeche, 1998).  Another recommendation to assist employees is to establish the position of an ombusman who can relay, in confidentiality, concerns and problems to management for discussion or resolution (Reece, 1996).  This will offer a “safe” place for employees to express their feelings. </w:t>
      </w:r>
    </w:p>
    <w:p>
      <w:pPr>
        <w:pStyle w:val="BodyText"/>
        <w:spacing w:lineRule="auto" w:line="480"/>
        <w:rPr/>
      </w:pPr>
      <w:r>
        <w:rPr/>
        <w:t xml:space="preserve">    </w:t>
      </w:r>
      <w:r>
        <w:rPr/>
        <w:t>Communication to the employees cannot be stressed enough as one of the most critical factors in the success of an organizational change of this magnitude.</w:t>
      </w:r>
    </w:p>
    <w:p>
      <w:pPr>
        <w:pStyle w:val="FootnoteText"/>
        <w:rPr>
          <w:sz w:val="24"/>
        </w:rPr>
      </w:pPr>
      <w:r>
        <w:rPr>
          <w:sz w:val="24"/>
        </w:rPr>
        <w:t xml:space="preserve">     </w:t>
      </w:r>
      <w:r>
        <w:rPr>
          <w:sz w:val="24"/>
        </w:rPr>
        <w:t xml:space="preserve">Resistance to change can be overcome through personalizing the acquisition transition </w:t>
      </w:r>
    </w:p>
    <w:p>
      <w:pPr>
        <w:pStyle w:val="FootnoteText"/>
        <w:rPr>
          <w:sz w:val="24"/>
        </w:rPr>
      </w:pPr>
      <w:r>
        <w:rPr>
          <w:sz w:val="24"/>
        </w:rPr>
      </w:r>
    </w:p>
    <w:p>
      <w:pPr>
        <w:pStyle w:val="FootnoteText"/>
        <w:spacing w:lineRule="auto" w:line="480"/>
        <w:rPr>
          <w:sz w:val="24"/>
        </w:rPr>
      </w:pPr>
      <w:r>
        <w:rPr>
          <w:sz w:val="24"/>
        </w:rPr>
        <w:t xml:space="preserve">experience.  Change management intervention will be extremely important.  An immediate step of intervention to take is management should determine exactly how individuals’ behavior and attitudes will have to change to make teams work.  Identify and, more importantly, communicate to individuals what they must cease doing and what they must begin doing.  These behaviors and attitudes need to be very specific.  Another critical step that needs to be done immediately is that leadership should determine who stands to lose something with the changed system.  Next, leadership must sell the problem that requires the change, in this case it is the reason for the acquisition (Bridges, 1993).  This will begin the acceptance process of employees.  The selling process needs to provide legitimate, external reasons for the acquisition (Davenport, 1998). </w:t>
      </w:r>
    </w:p>
    <w:p>
      <w:pPr>
        <w:pStyle w:val="BodyText"/>
        <w:spacing w:lineRule="auto" w:line="480"/>
        <w:rPr/>
      </w:pPr>
      <w:r>
        <w:rPr/>
        <w:t xml:space="preserve">     </w:t>
      </w:r>
      <w:r>
        <w:rPr/>
        <w:t xml:space="preserve">Leaders must handle the losses and endings directly with the employees during an organizational change for the change to be successful.  During the planning stage of an organizational change, leaders should identify who’s losing what. During the learning phase of finding out what is being lost, it is important to accept the reality and importance of the subjective losses.  The losses are subjective, so it is imperative for supervisors to listen and understand.  Leadership should not be surprised at overreaction from employees.  At this juncture, it is critical to acknowledge the losses openly and sympathetically.  This can be done simply and directly.  In this stage, leadership should express concern for the people.   Once these feelings are brought forward, supervisors should expect and accept signs of grieving. If at all possible, managers should find ways to compensate for the losses.  This may include providing a different type of empowerment for those that have been demoted or providing career-counseling services during and after layoffs.  It critical that management give people information and repeat the information.   During the inevitable confusion of the transition, it is also important to specifically define what is over and what is not over.  And finally, leadership should mark the endings, not just with conversation, but with creative actions or activities (Bridges, 1993). </w:t>
      </w:r>
    </w:p>
    <w:p>
      <w:pPr>
        <w:pStyle w:val="BodyText"/>
        <w:spacing w:lineRule="auto" w:line="480"/>
        <w:rPr/>
      </w:pPr>
      <w:r>
        <w:rPr/>
        <w:t xml:space="preserve">     </w:t>
      </w:r>
      <w:r>
        <w:rPr/>
        <w:t xml:space="preserve">Once the new system is taking traction in the organization, one must always remember to treat the past with respect and allow people to take a piece of the Old Way with them (Bridges, 1993). These steps of personalizing or humanizing the company change will help employees let go of the past in a way that will allow them to embrace the future of the new organization.  </w:t>
      </w:r>
    </w:p>
    <w:p>
      <w:pPr>
        <w:pStyle w:val="BodyText"/>
        <w:spacing w:lineRule="auto" w:line="480"/>
        <w:rPr/>
      </w:pPr>
      <w:r>
        <w:rPr/>
        <w:t xml:space="preserve">     </w:t>
      </w:r>
      <w:r>
        <w:rPr/>
        <w:t xml:space="preserve">Creating rewards and incentives that support the new company strategy and culture will also facilitate the acquisition transition.  The incentives need to be clearly defined to encourage the desired cooperation and coordination between the two previously separate businesses (Sirower, 1998).   Benefits and compensation programs, in general, need to be aligned with the new corporate strategies.  These are areas that personally affect the employee and will drive the desired behavior.     </w:t>
      </w:r>
    </w:p>
    <w:p>
      <w:pPr>
        <w:pStyle w:val="Normal"/>
        <w:spacing w:lineRule="auto" w:line="480"/>
        <w:rPr/>
      </w:pPr>
      <w:r>
        <w:rPr>
          <w:i/>
          <w:sz w:val="24"/>
        </w:rPr>
        <w:t xml:space="preserve">     </w:t>
      </w:r>
      <w:r>
        <w:rPr>
          <w:sz w:val="24"/>
        </w:rPr>
        <w:t>Monitoring and feedback are essential for management to ensure that cultural integration is successful (Walker, 1998).  Cultural audits and 360-degree management performance appraisals are tools that can be used for the continuous improvement of cultural integration. The cultural audit design typically includes qualitative data (from focus groups and interviews) and quantitative data (from surveys).</w:t>
      </w:r>
    </w:p>
    <w:p>
      <w:pPr>
        <w:pStyle w:val="BodyText"/>
        <w:spacing w:lineRule="auto" w:line="480"/>
        <w:rPr/>
      </w:pPr>
      <w:r>
        <w:rPr/>
        <w:t xml:space="preserve"> </w:t>
      </w:r>
    </w:p>
    <w:p>
      <w:pPr>
        <w:pStyle w:val="BodyText"/>
        <w:spacing w:lineRule="auto" w:line="480"/>
        <w:rPr/>
      </w:pPr>
      <w:r>
        <w:rPr/>
      </w:r>
    </w:p>
    <w:p>
      <w:pPr>
        <w:pStyle w:val="BodyText"/>
        <w:spacing w:lineRule="auto" w:line="480"/>
        <w:rPr>
          <w:u w:val="single"/>
        </w:rPr>
      </w:pPr>
      <w:r>
        <w:rPr>
          <w:u w:val="single"/>
        </w:rPr>
        <w:t>Pre-Acquisition Cultural Audit</w:t>
      </w:r>
    </w:p>
    <w:p>
      <w:pPr>
        <w:pStyle w:val="BodyText"/>
        <w:spacing w:lineRule="auto" w:line="480"/>
        <w:rPr/>
      </w:pPr>
      <w:r>
        <w:rPr/>
        <w:t xml:space="preserve">     </w:t>
      </w:r>
      <w:r>
        <w:rPr/>
        <w:t xml:space="preserve">Although the topic of this paper is post-acquisition culture management, this author’s research found that many consultants believe that the optimum timing to address this issue is prior to the acquisition.  Cultural due diligence should be conducted concurrently with the other business analysis to determine if the acquisition is feasible.  This will assist in determining the probability of success of the acquisition. </w:t>
      </w:r>
    </w:p>
    <w:p>
      <w:pPr>
        <w:pStyle w:val="BodyText"/>
        <w:spacing w:lineRule="auto" w:line="480"/>
        <w:rPr>
          <w:u w:val="single"/>
        </w:rPr>
      </w:pPr>
      <w:r>
        <w:rPr>
          <w:u w:val="single"/>
        </w:rPr>
        <w:t>Conclusion</w:t>
      </w:r>
    </w:p>
    <w:p>
      <w:pPr>
        <w:pStyle w:val="Heading"/>
        <w:spacing w:lineRule="auto" w:line="480"/>
        <w:jc w:val="start"/>
        <w:rPr/>
      </w:pPr>
      <w:r>
        <w:rPr>
          <w:b w:val="false"/>
          <w:sz w:val="24"/>
        </w:rPr>
        <w:t xml:space="preserve">     </w:t>
      </w:r>
      <w:r>
        <w:rPr>
          <w:b w:val="false"/>
          <w:sz w:val="24"/>
        </w:rPr>
        <w:t>In this global competitive business landscape of acquisitions and mergers,</w:t>
      </w:r>
      <w:r>
        <w:rPr>
          <w:b w:val="false"/>
        </w:rPr>
        <w:t xml:space="preserve"> </w:t>
      </w:r>
      <w:r>
        <w:rPr>
          <w:b w:val="false"/>
          <w:sz w:val="24"/>
        </w:rPr>
        <w:t xml:space="preserve">conventional sources of competitive advantage such as reducing costs and improving economies of scale will not suffice beyond the year 2000.  In addition, the window of opportunity to use of new technology to gain a competitive advantage has diminished.   The only true, sustainable advantage is our intellectual capital.   In order to preserve intellectual capital through acquisitions, management must establish culture management a key priority in all phases of the acquisition process.  The keys to effective culture management include top management support, proper examination of the two company’s existing cultures and their differences, a clear vision and strategy, strong communication to employees, integrating rewards, recognition, benefits, and compensation with the new culture, effective change management practices, and proper management tracking and follow-up of the culture integration.  </w:t>
      </w:r>
    </w:p>
    <w:p>
      <w:pPr>
        <w:pStyle w:val="BodyText"/>
        <w:spacing w:lineRule="auto" w:line="480"/>
        <w:rPr>
          <w:b/>
          <w:sz w:val="24"/>
        </w:rPr>
      </w:pPr>
      <w:r>
        <w:rPr>
          <w:b/>
          <w:sz w:val="24"/>
        </w:rPr>
      </w:r>
    </w:p>
    <w:p>
      <w:pPr>
        <w:pStyle w:val="BodyText"/>
        <w:spacing w:lineRule="auto" w:line="480"/>
        <w:rPr/>
      </w:pPr>
      <w:r>
        <w:rPr/>
      </w:r>
    </w:p>
    <w:p>
      <w:pPr>
        <w:pStyle w:val="BodyText"/>
        <w:spacing w:lineRule="auto" w:line="480"/>
        <w:rPr/>
      </w:pPr>
      <w:r>
        <w:rPr/>
      </w:r>
      <w:r>
        <w:br w:type="page"/>
      </w:r>
    </w:p>
    <w:p>
      <w:pPr>
        <w:pStyle w:val="Normal"/>
        <w:spacing w:lineRule="auto" w:line="480"/>
        <w:jc w:val="center"/>
        <w:rPr>
          <w:b/>
          <w:sz w:val="24"/>
        </w:rPr>
      </w:pPr>
      <w:r>
        <w:rPr>
          <w:b/>
          <w:sz w:val="24"/>
        </w:rPr>
        <w:t>References</w:t>
      </w:r>
    </w:p>
    <w:p>
      <w:pPr>
        <w:pStyle w:val="FootnoteText"/>
        <w:rPr/>
      </w:pPr>
      <w:r>
        <w:rPr>
          <w:sz w:val="24"/>
        </w:rPr>
        <w:t xml:space="preserve">Bridges, W. (1993), </w:t>
      </w:r>
      <w:r>
        <w:rPr>
          <w:sz w:val="24"/>
          <w:u w:val="single"/>
        </w:rPr>
        <w:t>Managing Transitions, Making the Most of Change</w:t>
      </w:r>
      <w:r>
        <w:rPr>
          <w:sz w:val="24"/>
        </w:rPr>
        <w:t>, Addison-Wesley Publishing Company.</w:t>
      </w:r>
    </w:p>
    <w:p>
      <w:pPr>
        <w:pStyle w:val="Normal"/>
        <w:rPr>
          <w:sz w:val="24"/>
        </w:rPr>
      </w:pPr>
      <w:r>
        <w:rPr>
          <w:sz w:val="24"/>
        </w:rPr>
      </w:r>
    </w:p>
    <w:p>
      <w:pPr>
        <w:pStyle w:val="Normal"/>
        <w:rPr/>
      </w:pPr>
      <w:r>
        <w:rPr>
          <w:sz w:val="24"/>
        </w:rPr>
        <w:t xml:space="preserve">Carleton, J.(1997, November). Cultural Due Diligence, </w:t>
      </w:r>
      <w:r>
        <w:rPr>
          <w:i/>
          <w:sz w:val="24"/>
        </w:rPr>
        <w:t>Training</w:t>
      </w:r>
      <w:r>
        <w:rPr>
          <w:sz w:val="24"/>
        </w:rPr>
        <w:t>, 34, 67-8.  Retrieved March 29, 1999 from the World Wide Web:</w:t>
      </w:r>
    </w:p>
    <w:p>
      <w:pPr>
        <w:pStyle w:val="Normal"/>
        <w:rPr>
          <w:sz w:val="24"/>
          <w:u w:val="single"/>
        </w:rPr>
      </w:pPr>
      <w:hyperlink r:id="rId2">
        <w:r>
          <w:rPr>
            <w:rStyle w:val="Hyperlink"/>
            <w:sz w:val="24"/>
          </w:rPr>
          <w:t>http://vweb.hwwilsonweb.com/cgi-bin/webc…A.GT.&amp;SP.URL.P=I(H7Z7)V(I)J</w:t>
        </w:r>
      </w:hyperlink>
      <w:r>
        <w:rPr>
          <w:color w:val="0000FF"/>
          <w:sz w:val="24"/>
          <w:u w:val="single"/>
        </w:rPr>
        <w:t>(0000128408)</w:t>
      </w:r>
    </w:p>
    <w:p>
      <w:pPr>
        <w:pStyle w:val="Normal"/>
        <w:rPr>
          <w:sz w:val="24"/>
          <w:u w:val="single"/>
        </w:rPr>
      </w:pPr>
      <w:r>
        <w:rPr>
          <w:sz w:val="24"/>
          <w:u w:val="single"/>
        </w:rPr>
      </w:r>
    </w:p>
    <w:p>
      <w:pPr>
        <w:pStyle w:val="Normal"/>
        <w:rPr/>
      </w:pPr>
      <w:r>
        <w:rPr>
          <w:sz w:val="24"/>
        </w:rPr>
        <w:t xml:space="preserve">Clemente,M. &amp; Greenspan, D. (1999, February).  M&amp;A’s Preventing Culture Clash, </w:t>
      </w:r>
      <w:r>
        <w:rPr>
          <w:i/>
          <w:sz w:val="24"/>
        </w:rPr>
        <w:t>Human</w:t>
      </w:r>
      <w:r>
        <w:rPr>
          <w:sz w:val="24"/>
        </w:rPr>
        <w:t xml:space="preserve"> </w:t>
      </w:r>
      <w:r>
        <w:rPr>
          <w:i/>
          <w:sz w:val="24"/>
        </w:rPr>
        <w:t>Resource Focus</w:t>
      </w:r>
      <w:r>
        <w:rPr>
          <w:sz w:val="24"/>
        </w:rPr>
        <w:t xml:space="preserve">, (76), 2, 9-10. Retrieved March 29, 1999 from the World Wide Web: </w:t>
      </w:r>
    </w:p>
    <w:p>
      <w:pPr>
        <w:pStyle w:val="Normal"/>
        <w:rPr>
          <w:sz w:val="24"/>
          <w:u w:val="single"/>
        </w:rPr>
      </w:pPr>
      <w:hyperlink r:id="rId3">
        <w:r>
          <w:rPr>
            <w:rStyle w:val="Hyperlink"/>
            <w:sz w:val="24"/>
          </w:rPr>
          <w:t>http://vweb.hwwilsonweb.com/cgi-bin/webc…A.GT.&amp;SP.URL.P=I(H7Z7)V(I)J</w:t>
        </w:r>
      </w:hyperlink>
      <w:r>
        <w:rPr>
          <w:color w:val="0000FF"/>
          <w:sz w:val="24"/>
          <w:u w:val="single"/>
        </w:rPr>
        <w:t>(0000008589)</w:t>
      </w:r>
    </w:p>
    <w:p>
      <w:pPr>
        <w:pStyle w:val="Normal"/>
        <w:rPr>
          <w:sz w:val="24"/>
          <w:u w:val="single"/>
        </w:rPr>
      </w:pPr>
      <w:r>
        <w:rPr>
          <w:sz w:val="24"/>
          <w:u w:val="single"/>
        </w:rPr>
      </w:r>
    </w:p>
    <w:p>
      <w:pPr>
        <w:pStyle w:val="Normal"/>
        <w:rPr/>
      </w:pPr>
      <w:r>
        <w:rPr>
          <w:sz w:val="24"/>
        </w:rPr>
        <w:t xml:space="preserve">Davenport, T. (1998).  The Integration Challenge, </w:t>
      </w:r>
      <w:r>
        <w:rPr>
          <w:i/>
          <w:sz w:val="24"/>
        </w:rPr>
        <w:t>Management Review</w:t>
      </w:r>
      <w:r>
        <w:rPr>
          <w:sz w:val="24"/>
        </w:rPr>
        <w:t>, 87, 25-28.</w:t>
      </w:r>
      <w:r>
        <w:rPr/>
        <w:t xml:space="preserve"> </w:t>
      </w:r>
      <w:r>
        <w:rPr>
          <w:sz w:val="24"/>
        </w:rPr>
        <w:t xml:space="preserve">Retrieved March 29, 1999 from the World Wide Web: </w:t>
      </w:r>
    </w:p>
    <w:p>
      <w:pPr>
        <w:pStyle w:val="Normal"/>
        <w:rPr>
          <w:sz w:val="24"/>
          <w:u w:val="single"/>
        </w:rPr>
      </w:pPr>
      <w:hyperlink r:id="rId4">
        <w:r>
          <w:rPr>
            <w:rStyle w:val="Hyperlink"/>
            <w:sz w:val="24"/>
          </w:rPr>
          <w:t>http://vweb.hwwilsonweb.com/cgi-bin/webc…A.GT.&amp;SP.URL.P=I(H7Z7)V(I)J</w:t>
        </w:r>
      </w:hyperlink>
      <w:r>
        <w:rPr>
          <w:color w:val="0000FF"/>
          <w:sz w:val="24"/>
          <w:u w:val="single"/>
        </w:rPr>
        <w:t>(0000112789)</w:t>
      </w:r>
    </w:p>
    <w:p>
      <w:pPr>
        <w:pStyle w:val="Normal"/>
        <w:rPr>
          <w:sz w:val="24"/>
          <w:u w:val="single"/>
        </w:rPr>
      </w:pPr>
      <w:r>
        <w:rPr>
          <w:sz w:val="24"/>
          <w:u w:val="single"/>
        </w:rPr>
      </w:r>
    </w:p>
    <w:p>
      <w:pPr>
        <w:pStyle w:val="BodyText"/>
        <w:rPr/>
      </w:pPr>
      <w:r>
        <w:rPr/>
        <w:t xml:space="preserve">Gilbert, E. (1995, March).  Analyzing Corporate Culture Key to Successful Mergers, </w:t>
      </w:r>
      <w:r>
        <w:rPr>
          <w:i/>
        </w:rPr>
        <w:t>National</w:t>
      </w:r>
      <w:r>
        <w:rPr/>
        <w:t xml:space="preserve"> </w:t>
      </w:r>
      <w:r>
        <w:rPr>
          <w:i/>
        </w:rPr>
        <w:t>Underwriter</w:t>
      </w:r>
      <w:r>
        <w:rPr/>
        <w:t xml:space="preserve">, 99, 13.  Retrieved March 29, 1999 from the World Wide Web:  </w:t>
      </w:r>
      <w:hyperlink r:id="rId5">
        <w:r>
          <w:rPr>
            <w:rStyle w:val="Hyperlink"/>
          </w:rPr>
          <w:t>http://vweb.hwwilsonweb.com/cgi-bin/webc…A.GT.&amp;SP.URL.P=I(7Z7)V(1)J(0000372128</w:t>
        </w:r>
      </w:hyperlink>
      <w:r>
        <w:rPr/>
        <w:t>)</w:t>
      </w:r>
    </w:p>
    <w:p>
      <w:pPr>
        <w:pStyle w:val="Normal"/>
        <w:rPr>
          <w:sz w:val="24"/>
          <w:u w:val="single"/>
        </w:rPr>
      </w:pPr>
      <w:r>
        <w:rPr>
          <w:sz w:val="24"/>
          <w:u w:val="single"/>
        </w:rPr>
      </w:r>
    </w:p>
    <w:p>
      <w:pPr>
        <w:pStyle w:val="BodyText"/>
        <w:rPr/>
      </w:pPr>
      <w:r>
        <w:rPr/>
        <w:t xml:space="preserve">Global Executives Say Retention of Key Talent is Critical to Long-Term M&amp;A Success, (1999, March), </w:t>
      </w:r>
      <w:r>
        <w:rPr>
          <w:i/>
        </w:rPr>
        <w:t>American Compensation Association Newsline</w:t>
      </w:r>
      <w:r>
        <w:rPr/>
        <w:t xml:space="preserve">.  Retrieved March 30, 1999 from the World Wide Web:  </w:t>
      </w:r>
      <w:hyperlink r:id="rId6">
        <w:r>
          <w:rPr>
            <w:rStyle w:val="Hyperlink"/>
          </w:rPr>
          <w:t>http://www.acaonline.org/newlinenews/generic/html/aca032599hom004003.html</w:t>
        </w:r>
      </w:hyperlink>
    </w:p>
    <w:p>
      <w:pPr>
        <w:pStyle w:val="BodyText"/>
        <w:rPr/>
      </w:pPr>
      <w:r>
        <w:rPr/>
      </w:r>
    </w:p>
    <w:p>
      <w:pPr>
        <w:pStyle w:val="Normal"/>
        <w:rPr/>
      </w:pPr>
      <w:r>
        <w:rPr>
          <w:sz w:val="24"/>
        </w:rPr>
        <w:t xml:space="preserve">Hitt, M., Ireland, R., &amp; Hoskisson, R., (1999). </w:t>
      </w:r>
      <w:r>
        <w:rPr>
          <w:sz w:val="24"/>
          <w:u w:val="single"/>
        </w:rPr>
        <w:t>Strategic Management-Competitiveness and Globalization</w:t>
      </w:r>
      <w:r>
        <w:rPr>
          <w:sz w:val="24"/>
        </w:rPr>
        <w:t>, South-Western College Publishing.</w:t>
      </w:r>
    </w:p>
    <w:p>
      <w:pPr>
        <w:pStyle w:val="Normal"/>
        <w:rPr>
          <w:sz w:val="24"/>
        </w:rPr>
      </w:pPr>
      <w:r>
        <w:rPr>
          <w:sz w:val="24"/>
        </w:rPr>
      </w:r>
    </w:p>
    <w:p>
      <w:pPr>
        <w:pStyle w:val="Normal"/>
        <w:rPr/>
      </w:pPr>
      <w:r>
        <w:rPr>
          <w:sz w:val="24"/>
        </w:rPr>
        <w:t xml:space="preserve">Holbeche, L. (1998).  Scary Splice. </w:t>
      </w:r>
      <w:r>
        <w:rPr>
          <w:i/>
          <w:sz w:val="24"/>
        </w:rPr>
        <w:t>People</w:t>
      </w:r>
      <w:r>
        <w:rPr>
          <w:sz w:val="24"/>
        </w:rPr>
        <w:t xml:space="preserve"> </w:t>
      </w:r>
      <w:r>
        <w:rPr>
          <w:i/>
          <w:sz w:val="24"/>
        </w:rPr>
        <w:t>Management</w:t>
      </w:r>
      <w:r>
        <w:rPr>
          <w:sz w:val="24"/>
        </w:rPr>
        <w:t xml:space="preserve">, (4), 20, 44-46.  Retrieved March 29, 1999 from the World Wide Web: </w:t>
      </w:r>
    </w:p>
    <w:p>
      <w:pPr>
        <w:pStyle w:val="Normal"/>
        <w:rPr>
          <w:sz w:val="24"/>
          <w:u w:val="single"/>
        </w:rPr>
      </w:pPr>
      <w:r>
        <w:rPr>
          <w:sz w:val="24"/>
        </w:rPr>
        <w:t xml:space="preserve"> </w:t>
      </w:r>
      <w:hyperlink r:id="rId7">
        <w:r>
          <w:rPr>
            <w:rStyle w:val="Hyperlink"/>
            <w:sz w:val="24"/>
          </w:rPr>
          <w:t>http://vweb.hwwilsonweb.com/cgi-bin/webc…A.GT.&amp;SP.URL.P=I(H7Z7)V(I)J</w:t>
        </w:r>
      </w:hyperlink>
      <w:r>
        <w:rPr>
          <w:color w:val="0000FF"/>
          <w:sz w:val="24"/>
          <w:u w:val="single"/>
        </w:rPr>
        <w:t>(000034020)</w:t>
      </w:r>
    </w:p>
    <w:p>
      <w:pPr>
        <w:pStyle w:val="Normal"/>
        <w:rPr>
          <w:sz w:val="24"/>
          <w:u w:val="single"/>
        </w:rPr>
      </w:pPr>
      <w:r>
        <w:rPr>
          <w:sz w:val="24"/>
          <w:u w:val="single"/>
        </w:rPr>
      </w:r>
    </w:p>
    <w:p>
      <w:pPr>
        <w:pStyle w:val="BodyText"/>
        <w:rPr/>
      </w:pPr>
      <w:r>
        <w:rPr/>
        <w:t xml:space="preserve">Nielsen, K., (1998, November). Postmerger Integration: Keeping Corporate Marriages Together, </w:t>
      </w:r>
      <w:r>
        <w:rPr>
          <w:i/>
        </w:rPr>
        <w:t>Chemical Week</w:t>
      </w:r>
      <w:r>
        <w:rPr/>
        <w:t xml:space="preserve">, 144, 28-31. Retrieved March 29, 1999 from the World Wide Web:  </w:t>
      </w:r>
      <w:hyperlink r:id="rId8">
        <w:r>
          <w:rPr>
            <w:rStyle w:val="Hyperlink"/>
          </w:rPr>
          <w:t>http://vweb.hwwilsonweb.com/cgi-bin/webc…A.GT.&amp;SP.URL.P=I(7Z7)V(1)J(0000</w:t>
        </w:r>
      </w:hyperlink>
      <w:r>
        <w:rPr>
          <w:color w:val="0000FF"/>
          <w:u w:val="single"/>
        </w:rPr>
        <w:t>025201)</w:t>
      </w:r>
    </w:p>
    <w:p>
      <w:pPr>
        <w:pStyle w:val="BodyText"/>
        <w:rPr>
          <w:color w:val="0000FF"/>
          <w:u w:val="single"/>
        </w:rPr>
      </w:pPr>
      <w:r>
        <w:rPr>
          <w:color w:val="0000FF"/>
          <w:u w:val="single"/>
        </w:rPr>
      </w:r>
    </w:p>
    <w:p>
      <w:pPr>
        <w:pStyle w:val="BodyText"/>
        <w:rPr/>
      </w:pPr>
      <w:r>
        <w:rPr/>
        <w:t>Sirower, M. (1998, May/June) Constructing A Synergistic Base for Premier Deals</w:t>
      </w:r>
      <w:r>
        <w:rPr>
          <w:i/>
        </w:rPr>
        <w:t>, Mergers &amp; Acquisitions</w:t>
      </w:r>
      <w:r>
        <w:rPr/>
        <w:t xml:space="preserve">, 6, 42-49.  Retrieved March 29, 1999 from the World Wide Web:  </w:t>
      </w:r>
      <w:hyperlink r:id="rId9">
        <w:r>
          <w:rPr>
            <w:rStyle w:val="Hyperlink"/>
          </w:rPr>
          <w:t>http://vweb.hwwilsonweb.com/cgi-bin/webspirs.cgi</w:t>
        </w:r>
      </w:hyperlink>
    </w:p>
    <w:p>
      <w:pPr>
        <w:pStyle w:val="BodyText"/>
        <w:rPr/>
      </w:pPr>
      <w:r>
        <w:rPr/>
      </w:r>
    </w:p>
    <w:p>
      <w:pPr>
        <w:pStyle w:val="BodyText"/>
        <w:rPr/>
      </w:pPr>
      <w:r>
        <w:rPr/>
        <w:t xml:space="preserve">Sierra, L. (1997, July/August) Mergers and Acquisitions: Tales from the Hunter and the Hunted, </w:t>
      </w:r>
      <w:r>
        <w:rPr>
          <w:i/>
        </w:rPr>
        <w:t>American Compensation Association Newsline</w:t>
      </w:r>
      <w:r>
        <w:rPr/>
        <w:t xml:space="preserve">, 40, 7. Retrieved March 30, 1999 from the World Wide Web:  </w:t>
      </w:r>
      <w:r>
        <w:rPr>
          <w:color w:val="0000FF"/>
          <w:u w:val="single"/>
        </w:rPr>
        <w:t>http://www.acaonline.org/memberlogin/?newsarts/generic/html/aca40n7hom002000.html</w:t>
      </w:r>
    </w:p>
    <w:p>
      <w:pPr>
        <w:pStyle w:val="Normal"/>
        <w:rPr>
          <w:color w:val="0000FF"/>
          <w:sz w:val="24"/>
          <w:u w:val="single"/>
        </w:rPr>
      </w:pPr>
      <w:r>
        <w:rPr>
          <w:color w:val="0000FF"/>
          <w:sz w:val="24"/>
          <w:u w:val="single"/>
        </w:rPr>
      </w:r>
    </w:p>
    <w:p>
      <w:pPr>
        <w:pStyle w:val="Normal"/>
        <w:rPr/>
      </w:pPr>
      <w:r>
        <w:rPr>
          <w:sz w:val="24"/>
        </w:rPr>
        <w:t xml:space="preserve">Solomon, C., (1998), Corporate Pioneers Navigate Global Mergers, </w:t>
      </w:r>
      <w:r>
        <w:rPr>
          <w:i/>
          <w:sz w:val="24"/>
        </w:rPr>
        <w:t>Workforce</w:t>
      </w:r>
      <w:r>
        <w:rPr>
          <w:sz w:val="24"/>
        </w:rPr>
        <w:t xml:space="preserve">, 5, 2-14.  Retrieved March 29, 1999 from the World Wide Web:  </w:t>
      </w:r>
      <w:hyperlink r:id="rId10">
        <w:r>
          <w:rPr>
            <w:rStyle w:val="Hyperlink"/>
            <w:sz w:val="24"/>
          </w:rPr>
          <w:t>http://vweb.hwwilsonweb.com/cgi-bin/webc…A.GT.&amp;SP.URL.P=I(H7Z7)V(I)J(0000044657</w:t>
        </w:r>
      </w:hyperlink>
      <w:r>
        <w:rPr>
          <w:sz w:val="24"/>
        </w:rPr>
        <w:t>)</w:t>
      </w:r>
    </w:p>
    <w:p>
      <w:pPr>
        <w:pStyle w:val="Normal"/>
        <w:rPr>
          <w:sz w:val="24"/>
        </w:rPr>
      </w:pPr>
      <w:r>
        <w:rPr>
          <w:sz w:val="24"/>
        </w:rPr>
      </w:r>
    </w:p>
    <w:p>
      <w:pPr>
        <w:pStyle w:val="BodyText"/>
        <w:rPr/>
      </w:pPr>
      <w:r>
        <w:rPr/>
        <w:t xml:space="preserve">Troiano, P. (1999, January).  Post-Merger Challenges, </w:t>
      </w:r>
      <w:r>
        <w:rPr>
          <w:i/>
        </w:rPr>
        <w:t>Management Review,</w:t>
      </w:r>
      <w:r>
        <w:rPr/>
        <w:t xml:space="preserve"> (88), 1, 6. Retrieved March 29, 1999 from the World Wide Web:  </w:t>
      </w:r>
      <w:hyperlink r:id="rId11">
        <w:r>
          <w:rPr>
            <w:rStyle w:val="Hyperlink"/>
          </w:rPr>
          <w:t>http://vweb.hwwilsonweb.com/cgi-bin/webc…A.GT.&amp;SP.URL.P=I(7Z7)V(1)J(0000</w:t>
        </w:r>
      </w:hyperlink>
      <w:r>
        <w:rPr>
          <w:color w:val="0000FF"/>
          <w:u w:val="single"/>
        </w:rPr>
        <w:t>016280)</w:t>
      </w:r>
    </w:p>
    <w:p>
      <w:pPr>
        <w:pStyle w:val="BodyText"/>
        <w:rPr>
          <w:color w:val="0000FF"/>
          <w:u w:val="single"/>
        </w:rPr>
      </w:pPr>
      <w:r>
        <w:rPr>
          <w:color w:val="0000FF"/>
          <w:u w:val="single"/>
        </w:rPr>
      </w:r>
    </w:p>
    <w:p>
      <w:pPr>
        <w:pStyle w:val="BodyText"/>
        <w:rPr/>
      </w:pPr>
      <w:r>
        <w:rPr/>
        <w:t xml:space="preserve">Walker, K. (1998, May).  Meshing Cultures in a Consolidation, </w:t>
      </w:r>
      <w:r>
        <w:rPr>
          <w:i/>
        </w:rPr>
        <w:t>Training and Development</w:t>
      </w:r>
      <w:r>
        <w:rPr/>
        <w:t xml:space="preserve">, (52), 5, 83-88.  Retrieved March 29, 1999 from the World Wide Web:  </w:t>
      </w:r>
      <w:hyperlink r:id="rId12">
        <w:r>
          <w:rPr>
            <w:rStyle w:val="Hyperlink"/>
          </w:rPr>
          <w:t>http://vweb.hwwilsonweb.com/cgi-bin/webc…A.GT.&amp;SP.URL.P=I(7Z7)V(1)J(0000</w:t>
        </w:r>
      </w:hyperlink>
      <w:r>
        <w:rPr>
          <w:color w:val="0000FF"/>
          <w:u w:val="single"/>
        </w:rPr>
        <w:t>079935)</w:t>
      </w:r>
    </w:p>
    <w:p>
      <w:pPr>
        <w:pStyle w:val="Normal"/>
        <w:rPr>
          <w:color w:val="0000FF"/>
          <w:sz w:val="24"/>
          <w:u w:val="single"/>
        </w:rPr>
      </w:pPr>
      <w:r>
        <w:rPr>
          <w:color w:val="0000FF"/>
          <w:sz w:val="24"/>
          <w:u w:val="single"/>
        </w:rPr>
      </w:r>
    </w:p>
    <w:p>
      <w:pPr>
        <w:pStyle w:val="Normal"/>
        <w:rPr>
          <w:sz w:val="24"/>
        </w:rPr>
      </w:pPr>
      <w:r>
        <w:rPr>
          <w:sz w:val="24"/>
        </w:rPr>
      </w:r>
    </w:p>
    <w:p>
      <w:pPr>
        <w:pStyle w:val="Normal"/>
        <w:spacing w:lineRule="auto" w:line="480"/>
        <w:jc w:val="center"/>
        <w:rPr>
          <w:sz w:val="24"/>
        </w:rPr>
      </w:pPr>
      <w:r>
        <w:rPr>
          <w:sz w:val="24"/>
        </w:rPr>
      </w:r>
    </w:p>
    <w:p>
      <w:pPr>
        <w:pStyle w:val="Normal"/>
        <w:spacing w:lineRule="auto" w:line="480"/>
        <w:jc w:val="center"/>
        <w:rPr>
          <w:sz w:val="24"/>
        </w:rPr>
      </w:pPr>
      <w:r>
        <w:rPr>
          <w:sz w:val="24"/>
        </w:rPr>
      </w:r>
    </w:p>
    <w:p>
      <w:pPr>
        <w:pStyle w:val="Normal"/>
        <w:spacing w:lineRule="auto" w:line="480"/>
        <w:jc w:val="center"/>
        <w:rPr>
          <w:sz w:val="24"/>
        </w:rPr>
      </w:pPr>
      <w:r>
        <w:rPr>
          <w:sz w:val="24"/>
        </w:rPr>
      </w:r>
    </w:p>
    <w:sectPr>
      <w:headerReference w:type="default" r:id="rId13"/>
      <w:headerReference w:type="first" r:id="rId1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spacing w:lineRule="auto" w:line="480"/>
      <w:jc w:val="center"/>
      <w:outlineLvl w:val="1"/>
    </w:pPr>
    <w:rPr>
      <w:sz w:val="24"/>
    </w:rPr>
  </w:style>
  <w:style w:type="paragraph" w:styleId="Heading3">
    <w:name w:val="heading 3"/>
    <w:basedOn w:val="Normal"/>
    <w:next w:val="Normal"/>
    <w:qFormat/>
    <w:pPr>
      <w:keepNext w:val="true"/>
      <w:numPr>
        <w:ilvl w:val="2"/>
        <w:numId w:val="1"/>
      </w:numPr>
      <w:spacing w:lineRule="auto" w:line="480"/>
      <w:outlineLvl w:val="2"/>
    </w:pPr>
    <w:rPr>
      <w:sz w:val="24"/>
      <w:u w:val="single"/>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2">
    <w:name w:val="Body Text 2"/>
    <w:basedOn w:val="Normal"/>
    <w:qFormat/>
    <w:pPr>
      <w:spacing w:lineRule="auto" w:line="480"/>
    </w:pPr>
    <w:rPr>
      <w:i/>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vweb.hwwilsonweb.com/cgi-bin/webc&#8230;A.GT.&amp;SP.URL.P=I(H7Z7)V(I)J(0000044657" TargetMode="External"/><Relationship Id="rId3" Type="http://schemas.openxmlformats.org/officeDocument/2006/relationships/hyperlink" Target="http://vweb.hwwilsonweb.com/cgi-bin/webc&#8230;A.GT.&amp;SP.URL.P=I(H7Z7)V(I)J(0000044657" TargetMode="External"/><Relationship Id="rId4" Type="http://schemas.openxmlformats.org/officeDocument/2006/relationships/hyperlink" Target="http://vweb.hwwilsonweb.com/cgi-bin/webc&#8230;A.GT.&amp;SP.URL.P=I(H7Z7)V(I)J(0000044657" TargetMode="External"/><Relationship Id="rId5" Type="http://schemas.openxmlformats.org/officeDocument/2006/relationships/hyperlink" Target="http://vweb.hwwilsonweb.com/cgi-bin/webc&#8230;A.GT.&amp;SP.URL.P=I(7Z7)V(1)J(0000372128" TargetMode="External"/><Relationship Id="rId6" Type="http://schemas.openxmlformats.org/officeDocument/2006/relationships/hyperlink" Target="http://www.acaonline.org/newlinenews/generic/html/aca032599hom004003.html" TargetMode="External"/><Relationship Id="rId7" Type="http://schemas.openxmlformats.org/officeDocument/2006/relationships/hyperlink" Target="http://vweb.hwwilsonweb.com/cgi-bin/webc&#8230;A.GT.&amp;SP.URL.P=I(H7Z7)V(I)J(0000044657" TargetMode="External"/><Relationship Id="rId8" Type="http://schemas.openxmlformats.org/officeDocument/2006/relationships/hyperlink" Target="http://vweb.hwwilsonweb.com/cgi-bin/webc&#8230;A.GT.&amp;SP.URL.P=I(7Z7)V(1)J(0000372128" TargetMode="External"/><Relationship Id="rId9" Type="http://schemas.openxmlformats.org/officeDocument/2006/relationships/hyperlink" Target="http://vweb.hwwilsonweb.com/cgi-bin/webspirs.cgi" TargetMode="External"/><Relationship Id="rId10" Type="http://schemas.openxmlformats.org/officeDocument/2006/relationships/hyperlink" Target="http://vweb.hwwilsonweb.com/cgi-bin/webc&#8230;A.GT.&amp;SP.URL.P=I(H7Z7)V(I)J(0000044657" TargetMode="External"/><Relationship Id="rId11" Type="http://schemas.openxmlformats.org/officeDocument/2006/relationships/hyperlink" Target="http://vweb.hwwilsonweb.com/cgi-bin/webc&#8230;A.GT.&amp;SP.URL.P=I(7Z7)V(1)J(0000372128" TargetMode="External"/><Relationship Id="rId12" Type="http://schemas.openxmlformats.org/officeDocument/2006/relationships/hyperlink" Target="http://vweb.hwwilsonweb.com/cgi-bin/webc&#8230;A.GT.&amp;SP.URL.P=I(7Z7)V(1)J(0000372128"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1999-05-11T22:27:00Z</dcterms:created>
  <dc:creator>L. Marlow Anderson</dc:creator>
  <dc:description/>
  <dc:language>en-CA</dc:language>
  <cp:lastModifiedBy>L. Marlow Anderson</cp:lastModifiedBy>
  <dcterms:modified xsi:type="dcterms:W3CDTF">1999-05-16T18:41:00Z</dcterms:modified>
  <cp:revision>18</cp:revision>
  <dc:subject/>
  <dc:title>L</dc:title>
</cp:coreProperties>
</file>