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Activities</w:t>
      </w:r>
    </w:p>
    <w:p>
      <w:pPr>
        <w:pStyle w:val="Normal"/>
        <w:rPr/>
      </w:pPr>
      <w:r>
        <w:rPr/>
        <w:t xml:space="preserve">This will no doubt remain a very fluid situation.  To a large degree, communications will be driven by events, be that the sale of a business or an infusion of private equity into Enron.  The following table outlines a first pass at those events we can plan for and their attendant communications messages and materials.  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Key:  </w:t>
        <w:tab/>
      </w:r>
      <w:r>
        <w:rPr>
          <w:i/>
          <w:iCs/>
        </w:rPr>
        <w:t>BR – Business Restructuring</w:t>
      </w:r>
    </w:p>
    <w:p>
      <w:pPr>
        <w:pStyle w:val="Heading2"/>
        <w:ind w:hanging="0" w:start="0"/>
        <w:rPr/>
      </w:pPr>
      <w:r>
        <w:rPr/>
        <w:tab/>
        <w:t>DM – Dynegy Merger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ab/>
        <w:t>OC – Ongoing communications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30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"/>
        <w:gridCol w:w="856"/>
        <w:gridCol w:w="4227"/>
        <w:gridCol w:w="3379"/>
        <w:gridCol w:w="3643"/>
      </w:tblGrid>
      <w:tr>
        <w:trPr/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4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Messages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Week of 11/26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Issue “all employee” memo from OOC providing top-line rationale for the process; classification of core/non-core businesses; total anticipated proceeds from cost savings and divestitures; total headcount impact; and notice of further communications to come from business heads.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Long-term success will depend on becoming a more focused and more efficient company.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Employees should stay focused to preserve personal opportunities.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All Employee Memo from OOC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Press release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Media Q&amp;A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Memo/Talking Points for Banks, Rating Agencies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0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"/>
        <w:gridCol w:w="856"/>
        <w:gridCol w:w="4227"/>
        <w:gridCol w:w="3379"/>
        <w:gridCol w:w="3643"/>
      </w:tblGrid>
      <w:tr>
        <w:trPr/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4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Messages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6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Week of 11/26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heads hold floor meetings to discuss: how the process was conducted; criteria &amp; objectives; potential business-specific implications; next steps; employee implications; severance packages.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Process is an opportunity to restore Enron’s leadership.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If you can’t work for Enron right now, work for each other.</w:t>
              <w:br/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For non-core businesses, our first priority is to sell so stay focused to preserve your opportunities. 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 core businesses, we have a lot of work to do and a bright future if we do it well.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e-mail notification of floor meeting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Head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FAQ for distribution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Severance plan fact sheet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Follow-up memo w/additional FAQs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[Provisions for reaching non-Houston employees?]</w:t>
            </w:r>
          </w:p>
        </w:tc>
      </w:tr>
      <w:tr>
        <w:trPr/>
        <w:tc>
          <w:tcPr>
            <w:tcW w:w="96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Communicate restructuring objectives and implications to customers</w:t>
            </w:r>
          </w:p>
        </w:tc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Core businesses: This process will make us a stronger counterparty/service provider.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Non-core businesses: We will continue to [operate safely and]  serve you as before while we  work to find a new home for this business.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Customer letter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Sales &amp; Marketing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Sales &amp; Marketing Q&amp;A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12/3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DM</w:t>
            </w:r>
          </w:p>
        </w:tc>
        <w:tc>
          <w:tcPr>
            <w:tcW w:w="42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Kean memo with information on Integration process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Process is underway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Name team members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Criteria and objectives</w:t>
            </w:r>
          </w:p>
        </w:tc>
        <w:tc>
          <w:tcPr>
            <w:tcW w:w="36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Memo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FAQ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Media Q&amp;A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0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856"/>
        <w:gridCol w:w="4177"/>
        <w:gridCol w:w="3339"/>
        <w:gridCol w:w="3598"/>
      </w:tblGrid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Messages</w:t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12/5 through year-end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Communications re bonuses, holiday parties [?], holiday wishes to be handled on a business unit level</w:t>
            </w:r>
          </w:p>
          <w:p>
            <w:pPr>
              <w:pStyle w:val="Normal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[Per HR]</w:t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[Per HR]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1/8/02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All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Floor Meetings for all businesses: Update and 2002 Outlook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[Update on restructuring and integration actions to date]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[Update on state of the business]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Outlook for 2002: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growth opportunities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priorities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what it will take to succeed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what employees should do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All employee memo from OOC (primarily an endorsement and notification of the floor meetings)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e-mail notification of floor meeting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Head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FAQ for distribution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DM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Announcement of Regulatory Process Steps and Approvals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Press release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OOC memo to all employees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February 2002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OC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Q4 Earnings announcement</w:t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TBD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Press release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Summary balance sheet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Conference call script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Media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Media Q&amp;A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Internal voice mail script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306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856"/>
        <w:gridCol w:w="4177"/>
        <w:gridCol w:w="3339"/>
        <w:gridCol w:w="3598"/>
      </w:tblGrid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Messages</w:t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DM</w:t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Steve Kean and business heads to hold floor meetings with all core businesses and staff units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Making progress toward the merger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Prospects for the combined company are excellent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Integration planning is going smoothly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[Actions to date; priorities going forward]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Committed to creating the best possible company with substantial opportunities for its employees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SK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Head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FAQ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Media talking points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3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2001-11-19T13:27:00Z</dcterms:created>
  <dc:creator>Josh Pekarsky</dc:creator>
  <dc:description/>
  <dc:language>en-CA</dc:language>
  <cp:lastModifiedBy>Josh Pekarsky</cp:lastModifiedBy>
  <cp:lastPrinted>2001-11-19T14:27:00Z</cp:lastPrinted>
  <dcterms:modified xsi:type="dcterms:W3CDTF">2001-11-19T17:46:00Z</dcterms:modified>
  <cp:revision>12</cp:revision>
  <dc:subject/>
  <dc:title>Activities</dc:title>
</cp:coreProperties>
</file>