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1800" w:leader="none"/>
        </w:tabs>
        <w:bidi w:val="0"/>
        <w:ind w:hanging="1800" w:start="1800" w:end="0"/>
        <w:jc w:val="star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center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 xml:space="preserve">Rozporządzenie 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center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MINISTRA  FINANSÓW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center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center"/>
        <w:rPr>
          <w:rFonts w:ascii="Arial" w:hAnsi="Arial"/>
          <w:b/>
          <w:color w:val="000080"/>
        </w:rPr>
      </w:pPr>
      <w:r>
        <w:rPr>
          <w:rFonts w:ascii="Arial" w:hAnsi="Arial"/>
          <w:color w:val="000080"/>
        </w:rPr>
        <w:t>z dnia 29 października 2001 r.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center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center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w sprawie określenia nowych tytułów podatkowych podatku dochodowego od osób fizycznych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center"/>
        <w:rPr>
          <w:rFonts w:ascii="Arial" w:hAnsi="Arial"/>
          <w:b/>
          <w:color w:val="000080"/>
        </w:rPr>
      </w:pPr>
      <w:r>
        <w:rPr>
          <w:rFonts w:ascii="Arial" w:hAnsi="Arial"/>
          <w:color w:val="000080"/>
        </w:rPr>
        <w:t>(Dz.U.  z dnia  30 października 2001 r.)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color w:val="000080"/>
        </w:rPr>
      </w:pPr>
      <w:r>
        <w:rPr>
          <w:rFonts w:ascii="Arial" w:hAnsi="Arial"/>
          <w:color w:val="000080"/>
        </w:rPr>
      </w:r>
    </w:p>
    <w:p>
      <w:pPr>
        <w:pStyle w:val="Normal"/>
        <w:widowControl w:val="false"/>
        <w:bidi w:val="0"/>
        <w:ind w:firstLine="431" w:start="0" w:end="0"/>
        <w:jc w:val="both"/>
        <w:rPr>
          <w:rFonts w:ascii="Arial" w:hAnsi="Arial"/>
          <w:color w:val="000080"/>
        </w:rPr>
      </w:pPr>
      <w:r>
        <w:rPr>
          <w:rFonts w:ascii="Arial" w:hAnsi="Arial"/>
          <w:b/>
          <w:color w:val="000080"/>
        </w:rPr>
        <w:t xml:space="preserve">Na podstawie art. 10 ust. 1 oraz art. 27 ust. 1 ustawy z dnia 26 lipca 1991 r. o podatku dochodowym od osób fizycznych </w:t>
      </w:r>
      <w:r>
        <w:rPr>
          <w:rFonts w:ascii="Arial" w:hAnsi="Arial"/>
          <w:color w:val="000080"/>
        </w:rPr>
        <w:t xml:space="preserve">(Dz. U. z 1993 r. Nr 90, poz. 416 i Nr 134, poz. 646, z 1994 r. Nr 43, poz. 163, Nr 90, poz. 419, Nr 113, poz. 547, Nr 123, poz. 602 i Nr 126, poz. 626, z 1995 r. Nr 5, poz. 25 i Nr 133, poz. 654 oraz z 1996 r. Nr 25, poz. 113, Nr 87, poz. 395, Nr 137, poz. 638 i Nr 147, poz. 686) </w:t>
      </w:r>
    </w:p>
    <w:p>
      <w:pPr>
        <w:pStyle w:val="Normal"/>
        <w:widowControl w:val="false"/>
        <w:bidi w:val="0"/>
        <w:ind w:firstLine="431" w:start="0" w:end="0"/>
        <w:jc w:val="both"/>
        <w:rPr>
          <w:rFonts w:ascii="Arial" w:hAnsi="Arial"/>
          <w:color w:val="000080"/>
        </w:rPr>
      </w:pPr>
      <w:r>
        <w:rPr>
          <w:rFonts w:ascii="Arial" w:hAnsi="Arial"/>
          <w:color w:val="000080"/>
        </w:rPr>
      </w:r>
    </w:p>
    <w:p>
      <w:pPr>
        <w:pStyle w:val="Normal"/>
        <w:widowControl w:val="false"/>
        <w:bidi w:val="0"/>
        <w:ind w:firstLine="431" w:start="-431" w:end="0"/>
        <w:jc w:val="both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zarządza się, co następuje: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 xml:space="preserve">      </w:t>
      </w:r>
      <w:r>
        <w:rPr>
          <w:rFonts w:ascii="Arial" w:hAnsi="Arial"/>
          <w:b/>
          <w:color w:val="000080"/>
        </w:rPr>
        <w:t>§ 1. W związku z koniecznością zwiększenia dochodów budżetu ustanawia się nowe źródła przychodów podlegające opodatkowaniu podatkiem dochodowym od osób fizycznych o: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1)    Panny cnotliwe - podatek od luksusu 10 %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2)    Panny niecnotliwe - podatek od użyteczności publicznej 10 %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3)    Stare panny - podatek od nieużyteczności publicznej 20 %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4)    Prostytutki - podatek dochodowy 15 %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5)    Mężatki - podatek obrotowy 8 %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6)    Cichodajki - podatek od ruchomości 18 %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7)    Żonaci z wdową posiadającą dzieci - podatek spadkowy 12 %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 xml:space="preserve">8)    Kobiety w okresie - podatek VAT 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 xml:space="preserve">       </w:t>
      </w:r>
      <w:r>
        <w:rPr>
          <w:rFonts w:ascii="Arial" w:hAnsi="Arial"/>
          <w:b/>
          <w:color w:val="000080"/>
        </w:rPr>
        <w:t>a) 7 dni 22 %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 xml:space="preserve">       </w:t>
      </w:r>
      <w:r>
        <w:rPr>
          <w:rFonts w:ascii="Arial" w:hAnsi="Arial"/>
          <w:b/>
          <w:color w:val="000080"/>
        </w:rPr>
        <w:t>b) 9 dni 40 %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 xml:space="preserve">       </w:t>
      </w:r>
      <w:r>
        <w:rPr>
          <w:rFonts w:ascii="Arial" w:hAnsi="Arial"/>
          <w:b/>
          <w:color w:val="000080"/>
        </w:rPr>
        <w:t>c) 22 dni 100 %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10)   Stare babcie - podatek od nieruchomości 10 % podstawy emerytury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11)   Nosiciele wirusa HIV - podatek od darowizn 25 %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12)   Panny w mini - podatek od widowisk 80 %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13)   Spółkujący w krzakach - podatek leśny i gruntowy 45 %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14)   Spółkujący w samochodzie - podatek drogowy 25 %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15)   Teściowe - podatek od nakładów zbędnych 50 %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16)    Kobiety w ciąży - podatek od wartości dodanej 80 %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start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17)    Małżeństwa - podatek za użytkowanie wieczyste 450 %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 xml:space="preserve">      </w:t>
      </w:r>
      <w:r>
        <w:rPr>
          <w:rFonts w:ascii="Arial" w:hAnsi="Arial"/>
          <w:b/>
          <w:color w:val="000080"/>
        </w:rPr>
        <w:t>§ 2. W związku z koniecznością natychmiastowego i właściwego wprowadzenia w życie powyższych przepisów karze podlegają: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1)    Wdowcy - za zniszczenie mienia społecznego 60 %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2)    Bezdzietne mężatki - za sabotaż 75 %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3)    Panny z dzieckiem - za prowadzenie działalności bez wpisu do rejestru 100 %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4)    Kawalerowie - za kłusownictwo 75 %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5)    Rozwodnicy i rozwódki - za dezercję 35 %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6)    Panny mówiące, że to pierwszy raz - za składanie fałszywych zeznań 40 %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7)    Cnotliwe kobiety pow.18-go roku życia - za nieterminowe świadczenia 30 %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 xml:space="preserve">      </w:t>
      </w:r>
      <w:r>
        <w:rPr>
          <w:rFonts w:ascii="Arial" w:hAnsi="Arial"/>
          <w:b/>
          <w:color w:val="000080"/>
        </w:rPr>
        <w:t>§ 3. Zarządzenie wychodzi w życie z dniem ogłoszenia i ma zastosowanie do przychodów osiąganych od 01.01.2002 r.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start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720" w:leader="none"/>
        </w:tabs>
        <w:bidi w:val="0"/>
        <w:ind w:hanging="0" w:start="0" w:end="0"/>
        <w:jc w:val="center"/>
        <w:outlineLvl w:val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WICEPREMIER  RADY  MINISTRÓW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center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MINISTER  FINANSÓW</w:t>
      </w:r>
    </w:p>
    <w:p>
      <w:pPr>
        <w:pStyle w:val="Normal"/>
        <w:widowControl w:val="false"/>
        <w:tabs>
          <w:tab w:val="left" w:pos="720" w:leader="none"/>
        </w:tabs>
        <w:bidi w:val="0"/>
        <w:ind w:hanging="0" w:start="0" w:end="0"/>
        <w:jc w:val="center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prof. Marek Belka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ahoma" w:cs="Times New Roman"/>
      <w:color w:val="auto"/>
      <w:kern w:val="2"/>
      <w:sz w:val="20"/>
      <w:szCs w:val="24"/>
      <w:lang w:val="pl-PL" w:eastAsia="pl-PL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widowControl/>
      <w:shd w:fill="000080"/>
      <w:ind w:hanging="0" w:start="0" w:end="0"/>
      <w:jc w:val="start"/>
      <w:textAlignment w:val="auto"/>
    </w:pPr>
    <w:rPr>
      <w:rFonts w:ascii="Tahoma" w:hAnsi="Tahoma"/>
      <w:sz w:val="20"/>
      <w:lang w:val="pl-PL" w:eastAsia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356</Words>
  <Characters>0</Characters>
  <CharactersWithSpaces>2031</CharactersWithSpaces>
  <Company>Telekomunikacja Polska S.A.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2001-11-14T08:42:00Z</dcterms:created>
  <dc:creator>Departament Ośrodek Informatyki w Poznaniu</dc:creator>
  <dc:description/>
  <dc:language>en-US</dc:language>
  <cp:lastModifiedBy/>
  <dcterms:modified xsi:type="dcterms:W3CDTF">2001-11-14T08:42:00Z</dcterms:modified>
  <cp:revision>2</cp:revision>
  <dc:subject/>
  <dc:title>Rozporządzenie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Lubowski</vt:lpwstr>
  </property>
</Properties>
</file>