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December 13, 2000</w:t>
      </w:r>
    </w:p>
    <w:p>
      <w:pPr>
        <w:pStyle w:val="Normal"/>
        <w:jc w:val="center"/>
        <w:rPr>
          <w:sz w:val="22"/>
        </w:rPr>
      </w:pPr>
      <w:r>
        <w:rPr>
          <w:sz w:val="22"/>
        </w:rPr>
      </w:r>
    </w:p>
    <w:p>
      <w:pPr>
        <w:pStyle w:val="Normal"/>
        <w:jc w:val="both"/>
        <w:rPr>
          <w:sz w:val="22"/>
        </w:rPr>
      </w:pPr>
      <w:r>
        <w:rPr>
          <w:sz w:val="22"/>
        </w:rPr>
        <w:t>Power Merchants Group</w:t>
      </w:r>
    </w:p>
    <w:p>
      <w:pPr>
        <w:pStyle w:val="Normal"/>
        <w:jc w:val="both"/>
        <w:rPr/>
      </w:pPr>
      <w:r>
        <w:rPr>
          <w:sz w:val="22"/>
        </w:rPr>
        <w:t>40 Wall Street, 38</w:t>
      </w:r>
      <w:r>
        <w:rPr>
          <w:sz w:val="22"/>
          <w:vertAlign w:val="superscript"/>
        </w:rPr>
        <w:t>th</w:t>
      </w:r>
      <w:r>
        <w:rPr>
          <w:sz w:val="22"/>
        </w:rPr>
        <w:t xml:space="preserve"> flr</w:t>
      </w:r>
    </w:p>
    <w:p>
      <w:pPr>
        <w:pStyle w:val="Normal"/>
        <w:jc w:val="both"/>
        <w:rPr>
          <w:sz w:val="22"/>
        </w:rPr>
      </w:pPr>
      <w:r>
        <w:rPr>
          <w:sz w:val="22"/>
        </w:rPr>
        <w:t>New York, NY 10005</w:t>
      </w:r>
    </w:p>
    <w:p>
      <w:pPr>
        <w:pStyle w:val="Normal"/>
        <w:jc w:val="both"/>
        <w:rPr>
          <w:sz w:val="22"/>
        </w:rPr>
      </w:pPr>
      <w:r>
        <w:rPr>
          <w:sz w:val="22"/>
        </w:rPr>
      </w:r>
    </w:p>
    <w:p>
      <w:pPr>
        <w:pStyle w:val="Normal"/>
        <w:jc w:val="both"/>
        <w:rPr>
          <w:sz w:val="22"/>
        </w:rPr>
      </w:pPr>
      <w:r>
        <w:rPr>
          <w:sz w:val="22"/>
        </w:rPr>
        <w:t>Attn: Kevin C. Glynn</w:t>
        <w:tab/>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Power Merchants Group  ("PMG")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PMG’s ability to execute on EnronOnline on behalf of its customers, all in accordance with the terms and conditions set forth in this letter and the attached Term Sheet (the transactions described in this letter and Term Sheet are referred to collectively as the “Transaction”).  </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PMG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PMG are unable to execute the Definitive Agreements by the Closing Date, unless extended by mutual agreement of the parties, this letter shall be deemed terminated, and neither Enron nor PMG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PMG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PMG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____________</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pPr>
      <w:r>
        <w:rPr>
          <w:sz w:val="22"/>
        </w:rPr>
        <w:t>Name:</w:t>
        <w:tab/>
      </w:r>
      <w:r>
        <w:rPr>
          <w:sz w:val="22"/>
          <w:u w:val="single"/>
        </w:rPr>
        <w:tab/>
      </w:r>
      <w:r>
        <w:rPr>
          <w:sz w:val="22"/>
        </w:rPr>
        <w:tab/>
      </w:r>
    </w:p>
    <w:p>
      <w:pPr>
        <w:pStyle w:val="Normal"/>
        <w:tabs>
          <w:tab w:val="clear" w:pos="720"/>
          <w:tab w:val="left" w:pos="5040" w:leader="none"/>
          <w:tab w:val="right" w:pos="9360" w:leader="none"/>
        </w:tabs>
        <w:ind w:start="4320" w:end="0"/>
        <w:jc w:val="both"/>
        <w:rPr/>
      </w:pPr>
      <w:r>
        <w:rPr>
          <w:sz w:val="22"/>
        </w:rPr>
        <w:t>Title:</w:t>
        <w:tab/>
      </w:r>
      <w:r>
        <w:rPr>
          <w:sz w:val="22"/>
          <w:u w:val="single"/>
        </w:rPr>
        <w:tab/>
      </w:r>
      <w:r>
        <w:rPr>
          <w:sz w:val="22"/>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 day of ____________, 2000.</w:t>
      </w:r>
    </w:p>
    <w:p>
      <w:pPr>
        <w:pStyle w:val="Normal"/>
        <w:jc w:val="both"/>
        <w:rPr>
          <w:sz w:val="22"/>
        </w:rPr>
      </w:pPr>
      <w:r>
        <w:rPr>
          <w:sz w:val="22"/>
        </w:rPr>
      </w:r>
    </w:p>
    <w:p>
      <w:pPr>
        <w:pStyle w:val="Normal"/>
        <w:jc w:val="both"/>
        <w:rPr>
          <w:sz w:val="22"/>
        </w:rPr>
      </w:pPr>
      <w:r>
        <w:rPr>
          <w:sz w:val="22"/>
        </w:rPr>
        <w:t xml:space="preserve">Power Merchants Group </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pStyle w:val="Normal"/>
        <w:jc w:val="both"/>
        <w:rPr>
          <w:sz w:val="22"/>
        </w:rPr>
      </w:pPr>
      <w:r>
        <w:rPr>
          <w:sz w:val="22"/>
        </w:rPr>
        <w:t>Title:</w:t>
        <w:tab/>
      </w:r>
      <w:r>
        <w:rPr>
          <w:sz w:val="22"/>
          <w:u w:val="single"/>
        </w:rPr>
        <w:tab/>
        <w:tab/>
        <w:tab/>
        <w:tab/>
        <w:tab/>
        <w:tab/>
      </w:r>
    </w:p>
    <w:p>
      <w:pPr>
        <w:pStyle w:val="Heading"/>
        <w:jc w:val="start"/>
        <w:rPr>
          <w:sz w:val="22"/>
        </w:rPr>
      </w:pPr>
      <w:r>
        <w:rPr>
          <w:sz w:val="22"/>
        </w:rPr>
      </w:r>
    </w:p>
    <w:p>
      <w:pPr>
        <w:pStyle w:val="Heading"/>
        <w:jc w:val="start"/>
        <w:rPr/>
      </w:pPr>
      <w:r>
        <w:rPr/>
      </w:r>
    </w:p>
    <w:p>
      <w:pPr>
        <w:pStyle w:val="Heading"/>
        <w:jc w:val="start"/>
        <w:rPr/>
      </w:pPr>
      <w:r>
        <w:rPr/>
      </w:r>
    </w:p>
    <w:p>
      <w:pPr>
        <w:pStyle w:val="Heading"/>
        <w:jc w:val="start"/>
        <w:rPr/>
      </w:pPr>
      <w:r>
        <w:rPr/>
      </w:r>
    </w:p>
    <w:p>
      <w:pPr>
        <w:pStyle w:val="Heading"/>
        <w:jc w:val="start"/>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Power Merchants Group, a ___________ ("PMG") is a broker representing certain entities in connection with their transactions for the purchase or sale of energy commodities.  In the proposed transaction, Enron will permit PMG to enter into transactions with Enron through a website for the purchase and sale of energy commodities on behalf of PMG’s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PMG’s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PMG, pursuant to a Fee Agreement in form and substance satisfactory to Enron (and containing certain provsions similar to the Password Applications executed by all EnronOnline customers), a Transaction ID that would allow PMG to execute transactions on the website for Specified Products (to be defined, but anticipated to NYMEX Natural Gas Swap products listed on EnronOnline).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The parties would also enter into a non-transferable, non-exclusive Broker Electronic Transaction Agreement (the "BETA") with EnronOnline for a term of one year. The BETA would grant PMG the ability to execute on the website, for the benefit of specified PMG customers identified to and approved by Enron using a software application developed by Enron for this purpose</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i/>
                <w:i/>
                <w:color w:val="auto"/>
                <w:sz w:val="22"/>
                <w:u w:val="single"/>
              </w:rPr>
            </w:pPr>
            <w:r>
              <w:rPr>
                <w:b w:val="false"/>
                <w:i/>
                <w:color w:val="auto"/>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Executions initiated by PMG, on behalf and for the account of an PMG customer shall occur at the time Enron signifies acceptance of the Brokers offer on the website.  The software application would, upon an execution attempt by PMG on behalf of an PMG customer, check for available credit against the Enron database utilizing PMG customer’s credit availability.  Executions completed by PMG on the website on behalf of an PMG customer would, upon execution, bind the PMG customer to a transaction pursuant to the operative agreement between Enron and the PMG customer.  Upon execution of a transaction on website, the software application would identify the counterparty to the website as PMG, as well as the PMG customer. Executed transactions done on the website by PMG would be confirmed in writing, as well as verbally, as transactions done with the Enron entity posting the prices.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 xml:space="preserve">In the event that PMG fails or refuses to confirm a transaction or PMG’s customer fails or refuses to accept the transaction for which PMG has made an execution,, PMG will pay to Enron an amount equal to Enron's Liquidated Damages (to be defined in the Definitive Agreements, but essentially "breakage" costs associated with unwinding the trade and any associated hedging transactions). </w:t>
            </w:r>
          </w:p>
          <w:p>
            <w:pPr>
              <w:pStyle w:val="Heading4"/>
              <w:ind w:hanging="0" w:start="0"/>
              <w:rPr>
                <w:b w:val="false"/>
                <w:color w:val="auto"/>
                <w:sz w:val="22"/>
              </w:rPr>
            </w:pPr>
            <w:r>
              <w:rPr>
                <w:b w:val="false"/>
                <w:color w:val="auto"/>
                <w:sz w:val="22"/>
              </w:rPr>
            </w:r>
          </w:p>
        </w:tc>
      </w:tr>
      <w:tr>
        <w:trPr/>
        <w:tc>
          <w:tcPr>
            <w:tcW w:w="2178" w:type="dxa"/>
            <w:tcBorders/>
          </w:tcPr>
          <w:p>
            <w:pPr>
              <w:pStyle w:val="Normal"/>
              <w:snapToGrid w:val="false"/>
              <w:jc w:val="end"/>
              <w:rPr>
                <w:b w:val="false"/>
                <w:color w:val="auto"/>
                <w:sz w:val="22"/>
              </w:rPr>
            </w:pPr>
            <w:r>
              <w:rPr>
                <w:b w:val="false"/>
                <w:color w:val="auto"/>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PMG’s obligations with respect to Liquidated Damages for failed assignments, PMG would deposit, in a margin account with Enron or its designated affiliate, letters of credit from a bank acceptable to Enron in an amount to be agreed and subject to adjustment from time to time based on changes in PMG’s credit.  Enron would be able to draw on such letters of credit for Liquidated Damages associated with failed transactions.</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color w:val="auto"/>
                <w:sz w:val="22"/>
                <w:u w:val="single"/>
              </w:rPr>
            </w:pPr>
            <w:r>
              <w:rPr>
                <w:b/>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consideration for entering into the license agreement, PMG would pay Enron a license fee of $100,000 and no brokerage fee or commission will be payable by Enron in connection with any transaction completed by PMG through the website.  Renewal rights and renewal fees are to be negotiated.</w:t>
            </w:r>
          </w:p>
          <w:p>
            <w:pPr>
              <w:pStyle w:val="Heading4"/>
              <w:ind w:hanging="0" w:start="0"/>
              <w:rPr>
                <w:b w:val="false"/>
                <w:color w:val="auto"/>
                <w:sz w:val="22"/>
                <w:u w:val="single"/>
              </w:rPr>
            </w:pPr>
            <w:r>
              <w:rPr>
                <w:b w:val="false"/>
                <w:color w:val="auto"/>
                <w:sz w:val="22"/>
                <w:u w:val="single"/>
              </w:rPr>
            </w:r>
          </w:p>
        </w:tc>
      </w:tr>
      <w:tr>
        <w:trPr/>
        <w:tc>
          <w:tcPr>
            <w:tcW w:w="2178" w:type="dxa"/>
            <w:tcBorders/>
          </w:tcPr>
          <w:p>
            <w:pPr>
              <w:pStyle w:val="Normal"/>
              <w:snapToGrid w:val="false"/>
              <w:jc w:val="end"/>
              <w:rPr>
                <w:b w:val="false"/>
                <w:color w:val="auto"/>
                <w:sz w:val="22"/>
                <w:u w:val="single"/>
              </w:rPr>
            </w:pPr>
            <w:r>
              <w:rPr>
                <w:b w:val="false"/>
                <w:color w:val="auto"/>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PMG (to be negotiated, but including those included within the Electronic Transactions Agreement routinely entered into between EnronOnline and its customers).  PMG acknowledges that Enron may also require PMG to obtain certain agreements with PMG’s customers with respect to the PMG’s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PMG is not in default under the Definitive Agreements, a pro rata portion of the annual access fee will be refunded to PMG.</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PMG,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PMG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PMG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o:eol\legal documents\loi PMG.doc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t>DRAFT: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2000-12-15T15:37:00Z</dcterms:created>
  <dc:creator>tmccull</dc:creator>
  <dc:description/>
  <dc:language>en-CA</dc:language>
  <cp:lastModifiedBy>rshults</cp:lastModifiedBy>
  <cp:lastPrinted>2000-12-14T17:08:00Z</cp:lastPrinted>
  <dcterms:modified xsi:type="dcterms:W3CDTF">2000-12-15T15:37:00Z</dcterms:modified>
  <cp:revision>2</cp:revision>
  <dc:subject/>
  <dc:title>ATTACHMENT “A”</dc:title>
</cp:coreProperties>
</file>