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ketnumber"/>
        <w:rPr>
          <w:sz w:val="24"/>
        </w:rPr>
      </w:pPr>
      <w:r>
        <w:rPr>
          <w:sz w:val="24"/>
        </w:rPr>
        <w:t>DOCKET NO. 23220</w:t>
      </w:r>
    </w:p>
    <w:p>
      <w:pPr>
        <w:pStyle w:val="Docketnumber"/>
        <w:rPr>
          <w:sz w:val="24"/>
        </w:rPr>
      </w:pPr>
      <w:r>
        <w:rPr>
          <w:sz w:val="24"/>
        </w:rPr>
      </w:r>
    </w:p>
    <w:p>
      <w:pPr>
        <w:pStyle w:val="Docketstyle"/>
        <w:tabs>
          <w:tab w:val="left" w:pos="4320" w:leader="none"/>
          <w:tab w:val="center" w:pos="4770" w:leader="none"/>
          <w:tab w:val="left" w:pos="4860" w:leader="none"/>
          <w:tab w:val="left" w:pos="5400" w:leader="none"/>
        </w:tabs>
        <w:spacing w:lineRule="auto" w:line="240"/>
        <w:jc w:val="start"/>
        <w:rPr/>
      </w:pPr>
      <w:r>
        <w:rPr/>
        <w:t>petition of the electric</w:t>
        <w:tab/>
        <w:t>§</w:t>
        <w:tab/>
        <w:tab/>
        <w:t>public utility commision</w:t>
      </w:r>
    </w:p>
    <w:p>
      <w:pPr>
        <w:pStyle w:val="Docketstyle"/>
        <w:tabs>
          <w:tab w:val="left" w:pos="4320" w:leader="none"/>
          <w:tab w:val="center" w:pos="4770" w:leader="none"/>
          <w:tab w:val="left" w:pos="5400" w:leader="none"/>
        </w:tabs>
        <w:spacing w:lineRule="auto" w:line="240"/>
        <w:jc w:val="start"/>
        <w:rPr/>
      </w:pPr>
      <w:r>
        <w:rPr/>
        <w:t>reliability council of texas</w:t>
        <w:tab/>
        <w:t>§</w:t>
      </w:r>
    </w:p>
    <w:p>
      <w:pPr>
        <w:pStyle w:val="Docketstyle"/>
        <w:tabs>
          <w:tab w:val="left" w:pos="4320" w:leader="none"/>
          <w:tab w:val="center" w:pos="4770" w:leader="none"/>
          <w:tab w:val="left" w:pos="5400" w:leader="none"/>
        </w:tabs>
        <w:spacing w:lineRule="auto" w:line="240"/>
        <w:jc w:val="start"/>
        <w:rPr/>
      </w:pPr>
      <w:r>
        <w:rPr/>
        <w:t>for approval of the ercot</w:t>
        <w:tab/>
        <w:t>§</w:t>
        <w:tab/>
        <w:tab/>
        <w:tab/>
        <w:t>of Texas</w:t>
      </w:r>
    </w:p>
    <w:p>
      <w:pPr>
        <w:pStyle w:val="Docketstyle"/>
        <w:tabs>
          <w:tab w:val="left" w:pos="4320" w:leader="none"/>
          <w:tab w:val="center" w:pos="4770" w:leader="none"/>
          <w:tab w:val="left" w:pos="5400" w:leader="none"/>
        </w:tabs>
        <w:spacing w:lineRule="auto" w:line="240"/>
        <w:jc w:val="start"/>
        <w:rPr/>
      </w:pPr>
      <w:r>
        <w:rPr/>
        <w:t>protocols</w:t>
        <w:tab/>
        <w:t>§</w:t>
      </w:r>
    </w:p>
    <w:p>
      <w:pPr>
        <w:pStyle w:val="Documentheading"/>
        <w:spacing w:lineRule="auto" w:line="360"/>
        <w:rPr>
          <w:sz w:val="24"/>
        </w:rPr>
      </w:pPr>
      <w:r>
        <w:rPr>
          <w:sz w:val="24"/>
        </w:rPr>
      </w:r>
    </w:p>
    <w:p>
      <w:pPr>
        <w:pStyle w:val="Normal"/>
        <w:jc w:val="center"/>
        <w:rPr>
          <w:b/>
          <w:u w:val="single"/>
        </w:rPr>
      </w:pPr>
      <w:r>
        <w:rPr>
          <w:b/>
          <w:u w:val="single"/>
        </w:rPr>
        <w:t>CITY OF DENTON’S BRIEF</w:t>
      </w:r>
    </w:p>
    <w:p>
      <w:pPr>
        <w:pStyle w:val="Normal"/>
        <w:spacing w:lineRule="auto" w:line="360"/>
        <w:jc w:val="center"/>
        <w:rPr>
          <w:b/>
          <w:u w:val="single"/>
        </w:rPr>
      </w:pPr>
      <w:r>
        <w:rPr>
          <w:b/>
          <w:u w:val="single"/>
        </w:rPr>
      </w:r>
    </w:p>
    <w:p>
      <w:pPr>
        <w:pStyle w:val="Normal"/>
        <w:spacing w:lineRule="auto" w:line="480"/>
        <w:rPr/>
      </w:pPr>
      <w:r>
        <w:rPr/>
        <w:tab/>
        <w:t>City of Denton (Denton) hereby files its Brief on certain issues regarding the Electric Reliability Council of Texas’ (ERCOT) petition for approval of the ERCOT Protocols.</w:t>
      </w:r>
    </w:p>
    <w:p>
      <w:pPr>
        <w:pStyle w:val="Heading1"/>
        <w:spacing w:lineRule="auto" w:line="480"/>
        <w:ind w:hanging="0" w:start="0"/>
        <w:rPr/>
      </w:pPr>
      <w:r>
        <w:rPr/>
        <w:t>I.  INTRODUCTION</w:t>
      </w:r>
    </w:p>
    <w:p>
      <w:pPr>
        <w:pStyle w:val="Normal"/>
        <w:spacing w:lineRule="auto" w:line="480"/>
        <w:rPr/>
      </w:pPr>
      <w:r>
        <w:rPr/>
        <w:tab/>
        <w:t>Pursuant to § 39.151(d) of the Public Utility Regulatory Act (PURA),</w:t>
      </w:r>
      <w:r>
        <w:rPr>
          <w:rStyle w:val="FootnoteCharacters"/>
          <w:rStyle w:val="FootnoteReference"/>
        </w:rPr>
        <w:footnoteReference w:id="2"/>
      </w:r>
      <w:r>
        <w:rPr/>
        <w:t xml:space="preserve"> ERCOT, as the independent organization of the ERCOT “power region,” is required to “establish and enforce procedures, consistent with [PURA] and the commission’s rules, relating to the reliability of the regional electric network and accounting for the production and delivery of electricity among generators and all market participants,” subject to the oversight of the Commission.</w:t>
      </w:r>
    </w:p>
    <w:p>
      <w:pPr>
        <w:pStyle w:val="Normal"/>
        <w:spacing w:lineRule="auto" w:line="480"/>
        <w:rPr/>
      </w:pPr>
      <w:r>
        <w:rPr/>
        <w:tab/>
        <w:t>Intervenors in this matter have filed a number of comments and issues that have been compiled by ERCOT into a Decision Point List.  Denton’s Brief addresses various issues as defined and labeled in that Decision Point List.  Denton contends that all of the issues addressed herein are policy issues.</w:t>
      </w:r>
    </w:p>
    <w:p>
      <w:pPr>
        <w:pStyle w:val="Heading1"/>
        <w:spacing w:lineRule="auto" w:line="480"/>
        <w:ind w:hanging="0" w:start="0"/>
        <w:rPr/>
      </w:pPr>
      <w:r>
        <w:rPr/>
        <w:t>II.  DISCUSSION</w:t>
      </w:r>
    </w:p>
    <w:p>
      <w:pPr>
        <w:pStyle w:val="BodyText2"/>
        <w:rPr/>
      </w:pPr>
      <w:r>
        <w:rPr/>
        <w:t>Denton 1 – Should the RMR capacity and energy payments be revised to allow the unit owner to recover costs to provide those services, much like the OOM service payment structure?</w:t>
      </w:r>
    </w:p>
    <w:p>
      <w:pPr>
        <w:pStyle w:val="BodyText2"/>
        <w:rPr/>
      </w:pPr>
      <w:r>
        <w:rPr/>
      </w:r>
    </w:p>
    <w:p>
      <w:pPr>
        <w:pStyle w:val="Normal"/>
        <w:spacing w:lineRule="auto" w:line="480"/>
        <w:ind w:firstLine="720" w:end="0"/>
        <w:rPr/>
      </w:pPr>
      <w:r>
        <w:rPr/>
        <w:t xml:space="preserve">The Capacity and Energy Payments for Reliability Must-Run (RMR) services should be priced at a level that ensures an RMR unit owner recovers the costs to provide these services.  Capacity payments for RMR services should be determined by negotiations between ERCOT and the RMR unit owner and not by a formula that uses pre-defined variables, such as is found in Section 6.8.3.1 of the ERCOT Protocols.  Energy payments can be determined by a formula similar to that found in Section 6.8.3.3 and the Standard Form RMR Agreement; however, there should be an additional provision that ensures ERCOT will reimburse the RMR unit owner should actual costs to provide energy services exceed the payment for these services allowed in the RMR service contract.  </w:t>
      </w:r>
    </w:p>
    <w:p>
      <w:pPr>
        <w:pStyle w:val="Normal"/>
        <w:spacing w:lineRule="auto" w:line="480"/>
        <w:ind w:firstLine="720" w:end="0"/>
        <w:rPr/>
      </w:pPr>
      <w:r>
        <w:rPr/>
        <w:t>When reliability needs are such that ERCOT must activate particular plants, or increase their level of output, ERCOT can use either RMR services or Out of Merit Order (OOM) services to cure the reliability problem.  While a particular unit may provide either service, there are important distinctions between these services.  RMR service is a contracted service between the unit owner and ERCOT.  Under the RMR agreement, ERCOT has first call in dispatching unit output and can rely (absent unforeseen outages) on the availability of the RMR unit.  Conversely, OOM is basically a voluntary service, and a particular unit owner may or may not desire to bid into the OOM market.  Thus, ERCOT has no means to direct a particular unit to provide OOM service.</w:t>
      </w:r>
    </w:p>
    <w:p>
      <w:pPr>
        <w:pStyle w:val="Normal"/>
        <w:spacing w:lineRule="auto" w:line="480"/>
        <w:ind w:firstLine="720" w:end="0"/>
        <w:rPr/>
      </w:pPr>
      <w:r>
        <w:rPr/>
        <w:t>Given the voluntary status of the provision of OOM services, it seems perverse that the pricing for both OOM capacity and energy services in the ERCOT Protocols is vastly superior to the pricing provided for RMR capacity and energy services, over which ERCOT has direct dispatch capability.</w:t>
      </w:r>
    </w:p>
    <w:p>
      <w:pPr>
        <w:pStyle w:val="Normal"/>
        <w:spacing w:lineRule="auto" w:line="480"/>
        <w:ind w:firstLine="720" w:end="0"/>
        <w:rPr/>
      </w:pPr>
      <w:r>
        <w:rPr/>
        <w:t>OOM Capacity (OOMC) service under the ERCOT Protocols (Section 6.8.2.1) is priced at the lesser of the bid price for unit capacity (if available) or the Market Clearing Price of Capacity (MCPC) times a Current Resource Specific Percentage (CRSP), which varies from 150% to 100% based on the number of times the unit has provided OOM service in the previous 90 days.  If the unit has not submitted a bid for capacity, the price will be set by the next higher bid after the highest priced bid procured for Replacement Reserve Service procured in the congestion zone. Additionally, if the ERCOT capacity payment does not cover the actual cost of the unit, ERCOT will reimburse the unit owner for all verifiable, incremental costs directly attributable to the OOMC procurement.</w:t>
      </w:r>
    </w:p>
    <w:p>
      <w:pPr>
        <w:pStyle w:val="Normal"/>
        <w:spacing w:lineRule="auto" w:line="480"/>
        <w:ind w:firstLine="720" w:end="0"/>
        <w:rPr/>
      </w:pPr>
      <w:r>
        <w:rPr/>
        <w:t>Conversely, an RMR unit’s reimbursement for capacity service, as found in Section 6.8.3.1 of the ERCOT Protocols, is based solely on an economic model that may or may not accurately reflect the RMR unit owners’ cost to provide RMR services.  This model is used to determine the levelized carrying cost of a current simple cycle gas turbine generator (excluding land costs) over 15 years, assuming 30% equity financing at a 10% rate of return, and standardized O&amp;M costs as derived from a standard industrial reference.  This value will then be further reduced by multiplying the result by 70%.  There are no reimbursements by ERCOT if actual costs are greater than those called for in the ERCOT Protocols.  There are, however, significant reductions to the RMR capacity payment for failure of the RMR unit to perform at a minimum 85% of the contracted capacity over a six month period.  Section 6.8.3.1 of the ERCOT Protocols does allow an RMR unit owner to potentially recover the costs of major equipment modifications necessary to provide RMR service, such as pollution abatement equipment; however, these additional payments are left to private negotiations between the RMR unit owner and ERCOT.</w:t>
      </w:r>
    </w:p>
    <w:p>
      <w:pPr>
        <w:pStyle w:val="Normal"/>
        <w:spacing w:lineRule="auto" w:line="480"/>
        <w:ind w:firstLine="720" w:end="0"/>
        <w:rPr/>
      </w:pPr>
      <w:r>
        <w:rPr/>
        <w:t xml:space="preserve">OOM Energy payments, under Section 6.8.2.2 of the ERCOT Protocols, are set at the higher of the two following options: </w:t>
      </w:r>
    </w:p>
    <w:p>
      <w:pPr>
        <w:pStyle w:val="Normal"/>
        <w:numPr>
          <w:ilvl w:val="0"/>
          <w:numId w:val="2"/>
        </w:numPr>
        <w:spacing w:lineRule="auto" w:line="480"/>
        <w:rPr/>
      </w:pPr>
      <w:r>
        <w:rPr/>
        <w:t xml:space="preserve">the lower of the actual bid price of the unit or the highest daily Houston Ship Channel posted price times 18, or </w:t>
      </w:r>
    </w:p>
    <w:p>
      <w:pPr>
        <w:pStyle w:val="Normal"/>
        <w:numPr>
          <w:ilvl w:val="0"/>
          <w:numId w:val="2"/>
        </w:numPr>
        <w:spacing w:lineRule="auto" w:line="480"/>
        <w:rPr/>
      </w:pPr>
      <w:r>
        <w:rPr/>
        <w:t xml:space="preserve">the Market Clearing Price of Energy (MCPE) for the congestion zone.  </w:t>
      </w:r>
    </w:p>
    <w:p>
      <w:pPr>
        <w:pStyle w:val="Normal"/>
        <w:spacing w:lineRule="auto" w:line="480"/>
        <w:ind w:firstLine="720" w:end="0"/>
        <w:rPr/>
      </w:pPr>
      <w:r>
        <w:rPr/>
        <w:t>As with the OOM Capacity payment, Section 6.8.2.2 of the ERCOT Protocols provides that if the cost of providing OOM Energy Services is in excess of the established payment for these services, ERCOT will reimburse the unit owner all verifiable incremental costs.</w:t>
      </w:r>
    </w:p>
    <w:p>
      <w:pPr>
        <w:pStyle w:val="Normal"/>
        <w:spacing w:lineRule="auto" w:line="480"/>
        <w:rPr/>
      </w:pPr>
      <w:r>
        <w:rPr/>
        <w:tab/>
        <w:t>Section 6.8.3.3 of the ERCOT Protocols states that RMR Energy payments are determined by multiplying a Gas Price Index by an RMR Energy Multiplier (Heat Rate) plus a Variable Cost Component.  All of these values are pre-determined in the RMR contract or by private negotiations between ERCOT and the RMR unit owner.  Unlike the OOM Energy payment, however, there is no provision for adjustment should actual costs exceed payments by ERCOT.</w:t>
      </w:r>
    </w:p>
    <w:p>
      <w:pPr>
        <w:pStyle w:val="Normal"/>
        <w:spacing w:lineRule="auto" w:line="480"/>
        <w:ind w:firstLine="720" w:end="0"/>
        <w:rPr/>
      </w:pPr>
      <w:r>
        <w:rPr/>
        <w:t>Under the proposed provisions of the Protocols, it is clear that utilization of OOM service presents the opportunity for the unit owner to receive payments well in excess of the cost to provide OOM services to ERCOT.  Additionally, the OOM pricing provisions essentially guarantee that an OOM unit provider will never receive payments that do not cover the cost of providing OOM services.</w:t>
      </w:r>
    </w:p>
    <w:p>
      <w:pPr>
        <w:pStyle w:val="Normal"/>
        <w:spacing w:lineRule="auto" w:line="480"/>
        <w:ind w:firstLine="720" w:end="0"/>
        <w:rPr/>
      </w:pPr>
      <w:r>
        <w:rPr/>
        <w:t>Conversely, an RMR unit owner has no such opportunity to receive payments over its contracted amount when market conditions dictate a higher value for these services, and has no protection that ensures its payments from ERCOT will at least equal the cost to provide service.</w:t>
      </w:r>
    </w:p>
    <w:p>
      <w:pPr>
        <w:pStyle w:val="Normal"/>
        <w:spacing w:lineRule="auto" w:line="480"/>
        <w:ind w:firstLine="720" w:end="0"/>
        <w:rPr/>
      </w:pPr>
      <w:r>
        <w:rPr/>
        <w:t xml:space="preserve">These pricing provisions, along with the extremely burdensome penalties found in the Standard Form RMR Agreement (which Denton will discuss later), show a distinct and obvious bias towards the use of OOM services, which are voluntary, over RMR services which are provided by units directly controlled by ERCOT, to cure reliability problems in ERCOT.  Indeed, based on the current provisions, little incentive is given to any party within ERCOT to enter into an RMR agreement.  </w:t>
      </w:r>
    </w:p>
    <w:p>
      <w:pPr>
        <w:pStyle w:val="Normal"/>
        <w:spacing w:lineRule="auto" w:line="480"/>
        <w:ind w:firstLine="720" w:end="0"/>
        <w:rPr/>
      </w:pPr>
      <w:r>
        <w:rPr/>
        <w:t>Denton proposes that the RMR capacity charge be determined on a unit by unit basis through negotiations between the RMR unit owner and ERCOT.  The RMR energy charge should include a provision similar to that found for OOM capacity and energy service, which ensures that ERCOT would pay any verifiable incremental costs that the owner incurs over the payment for RMR energy service as established by the RMR contract.</w:t>
      </w:r>
    </w:p>
    <w:p>
      <w:pPr>
        <w:pStyle w:val="BodyText2"/>
        <w:rPr/>
      </w:pPr>
      <w:r>
        <w:rPr/>
      </w:r>
    </w:p>
    <w:p>
      <w:pPr>
        <w:pStyle w:val="BodyText2"/>
        <w:rPr/>
      </w:pPr>
      <w:r>
        <w:rPr/>
        <w:t>Denton 2 – Is there a bias towards OOM services that could cause market power abuses by fleet generation owners, especially in non-attainment areas, and could such abuse be magnified in areas subject to emissions limitations that could restrict operation?</w:t>
      </w:r>
    </w:p>
    <w:p>
      <w:pPr>
        <w:pStyle w:val="BodyText2"/>
        <w:rPr/>
      </w:pPr>
      <w:r>
        <w:rPr/>
      </w:r>
    </w:p>
    <w:p>
      <w:pPr>
        <w:pStyle w:val="Normal"/>
        <w:spacing w:lineRule="auto" w:line="480"/>
        <w:ind w:firstLine="720" w:end="0"/>
        <w:rPr/>
      </w:pPr>
      <w:r>
        <w:rPr/>
        <w:t>The Protocols’ bias towards use of OOM services over RMR services to cure reliability problems can lead to potential market power abuses by fleet generation owners in areas where one party owns the majority of generation resources.  This potential for market power abuse is magnified when the generators in the area are subject to emissions limitations resulting in potential operating restrictions.  Under such a scenario, it would be possible for a fleet generation owner to hold particular units off the market so other unit owners are forced into providing reliability services during periods when market prices are low, thus using up their emissions credits and available operating time for the year.  When market clearing prices are higher (during summer peaks), other unit owners would not have the operating flexibility to provide reliability services unless they contracted for additional emissions credits in order to provide service.  This leaves the fleet generation owner free to receive the benefits of these higher prices by providing OOM service or by demanding extremely high prices for its emission credits.</w:t>
      </w:r>
    </w:p>
    <w:p>
      <w:pPr>
        <w:pStyle w:val="Normal"/>
        <w:spacing w:lineRule="auto" w:line="480"/>
        <w:ind w:firstLine="720" w:end="0"/>
        <w:rPr/>
      </w:pPr>
      <w:r>
        <w:rPr/>
        <w:t>This potential for market power abuse is intensified if the dominant generation resource owner can predict with a reasonable degree of certainty when such reliability services will be needed.  The data concerning historic load and generation patterns possessed by fleet generation owners will allow such owners to unfairly manipulate the market.</w:t>
      </w:r>
    </w:p>
    <w:p>
      <w:pPr>
        <w:pStyle w:val="Normal"/>
        <w:spacing w:lineRule="auto" w:line="480"/>
        <w:ind w:firstLine="720" w:end="0"/>
        <w:rPr/>
      </w:pPr>
      <w:r>
        <w:rPr/>
        <w:t>This situation is very possible in the Dallas-Fort Worth (DFW) non-attainment area, where transmission restrictions create reliability concerns during peak periods.  According to a preliminary ERCOT report on Potential Generation Reduction in the DFW non-attainment area, TXU owns 4,710 MW of 5,221 MW of identified resources (Greenville excluded) in the DFW non-attainment area.  This amounts to approximately 90% of the available generation capacity in the area.  Denton owns one plant in the area (representing approximately 3% of the generation capacity in the area).</w:t>
      </w:r>
    </w:p>
    <w:p>
      <w:pPr>
        <w:pStyle w:val="Normal"/>
        <w:spacing w:lineRule="auto" w:line="480"/>
        <w:ind w:firstLine="720" w:end="0"/>
        <w:rPr/>
      </w:pPr>
      <w:r>
        <w:rPr/>
        <w:t>If all generation resources in the DFW area choose not to contract as RMR units and ERCOT has to rely on OOM service to provide regional reliability services when overall ERCOT market prices are low, this could result in all parties withholding their generation resources from the market so they would be available to serve when the ERCOT system is at peak demand and market prices are higher.  This potential situation may result in decreased reliability on the ERCOT system during periods of regional peaking conditions.</w:t>
      </w:r>
    </w:p>
    <w:p>
      <w:pPr>
        <w:pStyle w:val="Normal"/>
        <w:spacing w:lineRule="auto" w:line="480"/>
        <w:rPr/>
      </w:pPr>
      <w:r>
        <w:rPr/>
        <w:tab/>
        <w:t>ERCOT would be better served by identifying units needed to cure potential reliability problems in historic trouble areas, such as the DFW non-attainment area, and contracting for RMR services from these units.  In order for this to occur, the current ERCOT Protocols for provision of RMR services will need to be revised to offer pricing and other incentives that encourage, and not discourage, unit owners from contracting for RMR status.</w:t>
      </w:r>
    </w:p>
    <w:p>
      <w:pPr>
        <w:pStyle w:val="BodyText2"/>
        <w:rPr/>
      </w:pPr>
      <w:r>
        <w:rPr/>
      </w:r>
    </w:p>
    <w:p>
      <w:pPr>
        <w:pStyle w:val="BodyText2"/>
        <w:rPr/>
      </w:pPr>
      <w:r>
        <w:rPr/>
        <w:t>Denton 3 – Is the RMR Agreement penalty for an unexcused Misconduct Event excessive and are the performance standards to define the event too strict and the excuse for misconduct too vague?</w:t>
      </w:r>
    </w:p>
    <w:p>
      <w:pPr>
        <w:pStyle w:val="BodyText2"/>
        <w:rPr/>
      </w:pPr>
      <w:r>
        <w:rPr/>
      </w:r>
    </w:p>
    <w:p>
      <w:pPr>
        <w:pStyle w:val="Normal"/>
        <w:spacing w:lineRule="auto" w:line="480"/>
        <w:ind w:firstLine="720" w:end="0"/>
        <w:rPr/>
      </w:pPr>
      <w:r>
        <w:rPr/>
        <w:t xml:space="preserve">The Standard Form RMR Agreement should be revised to reduce the penalty imposed for an unexcused Misconduct Event and relax the performance standards defining a Misconduct Event.  The $10,000 Unexcused Misconduct Penalty found in Section 1.H(4) of the Standard Form RMR Agreement is excessive, especially in light of the fact that pursuant to Section 9.G(3) of the Standard Form RMR Agreement, a Misconduct Event is determined on a daily basis.  The penalty should be reduced from $10,000 to $2,000.  Additionally, the criteria of Section 9.G(1) of the Standard Form RMR Agreement, which classifies a misconduct event as any hour in which an RMR unit fails to provide at least 98% of requested energy, is unrealistic.  In the DFW area, many of the units that are likely to provide RMR service are relatively older units.  These older units often may not have the sophisticated control technology necessary to meet such a high standard of performance and installation of the necessary control technology may not provide enough incremental benefit relative to its costs to warrant its installation. </w:t>
      </w:r>
    </w:p>
    <w:p>
      <w:pPr>
        <w:pStyle w:val="Normal"/>
        <w:spacing w:lineRule="auto" w:line="480"/>
        <w:ind w:firstLine="720" w:end="0"/>
        <w:rPr/>
      </w:pPr>
      <w:r>
        <w:rPr/>
        <w:t xml:space="preserve">For example, if it is assumed an RMR unit is scheduled to run at 100 MW for a particular hour during which the cost of gas is $5 per MMBtu, the unit’s heat rate is 14 and the O&amp;M adder is set at $3 per megawatt-hour, the revenues received for energy production from that unit for that hour would be anticipated to be $7,300.  However, should this unit only achieve production of 97 megawatts for the hour, the penalty imposed by ERCOT would be $10,000.  If it is assumed the RMR energy charge is equal to the cost of production from the RMR unit, the RMR unit owner will pay $7,081 of production costs to produce the 97 MW, receive payment from ERCOT for $7,081 for the 97 MW produced, and incur a non-performance penalty of $10,000.  Because the RMR unit owner only received payment equivalent to the cost to produce the power, the $10,000 penalty imposes a $10,000 net loss.  The net loss to the unit owner of $10,000 in this example, is an overly burdensome penalty for missing their energy schedule by 3 MW (or 3%). </w:t>
      </w:r>
    </w:p>
    <w:p>
      <w:pPr>
        <w:pStyle w:val="Normal"/>
        <w:spacing w:lineRule="auto" w:line="480"/>
        <w:ind w:firstLine="720" w:end="0"/>
        <w:rPr/>
      </w:pPr>
      <w:r>
        <w:rPr/>
        <w:t xml:space="preserve">Denton is also concerned about the reasons allowed for excusing misconduct events.  Section 9.G(4) of the Standard Form RMR Agreement allows ERCOT to excuse a misconduct event that is either 1) not due to intentionally incomplete, inaccurate, or dishonest reporting of the availability of an RMR unit, or 2) caused by a failure of the ERCOT transmission grid.  While these exclusions appear broad, the determination of the intent to misreport availability is probably beyond the determination capabilities of ERCOT.  Using the above example, if ERCOT chose to take a position that the unit owner should have known it would not achieve the 100 MW schedule, ERCOT could impose the penalty when, in fact, there may have been other operational considerations that precluded the unit from achieving its scheduled delivery amount in that hour.  </w:t>
      </w:r>
    </w:p>
    <w:p>
      <w:pPr>
        <w:pStyle w:val="BodyText"/>
        <w:spacing w:lineRule="auto" w:line="480"/>
        <w:ind w:firstLine="720" w:end="0"/>
        <w:jc w:val="both"/>
        <w:rPr>
          <w:rFonts w:ascii="Times New Roman" w:hAnsi="Times New Roman" w:cs="Times New Roman"/>
          <w:sz w:val="24"/>
        </w:rPr>
      </w:pPr>
      <w:r>
        <w:rPr>
          <w:rFonts w:cs="Times New Roman" w:ascii="Times New Roman" w:hAnsi="Times New Roman"/>
          <w:sz w:val="24"/>
        </w:rPr>
        <w:t xml:space="preserve">Denton proposes that a performance measure of 90% of scheduled energy deliveries should be imposed and that a misconduct penalty of $2,000 per event would be more reasonable.  Using the costs cited in the previous example, if a unit scheduled to deliver 100 MW only produced 89 MW during the hour, it would be penalized $2,000, which would be equivalent to approximately $180 for each of the 11 MWs it failed to produce.  </w:t>
      </w:r>
    </w:p>
    <w:p>
      <w:pPr>
        <w:pStyle w:val="Normal"/>
        <w:rPr>
          <w:rFonts w:ascii="Times New Roman" w:hAnsi="Times New Roman" w:cs="Times New Roman"/>
          <w:b/>
          <w:sz w:val="24"/>
        </w:rPr>
      </w:pPr>
      <w:r>
        <w:rPr>
          <w:rFonts w:cs="Times New Roman"/>
          <w:b/>
          <w:sz w:val="24"/>
        </w:rPr>
      </w:r>
      <w:r>
        <w:br w:type="page"/>
      </w:r>
    </w:p>
    <w:p>
      <w:pPr>
        <w:pStyle w:val="Normal"/>
        <w:rPr>
          <w:b/>
        </w:rPr>
      </w:pPr>
      <w:r>
        <w:rPr>
          <w:b/>
        </w:rPr>
        <w:t>Denton 4 – Should RMR agreements be revised to remove mechanisms that result in a doubling of penalties for older units’ failure to meet “rigid standards” and be replaced with less chilling penalties?</w:t>
      </w:r>
    </w:p>
    <w:p>
      <w:pPr>
        <w:pStyle w:val="Normal"/>
        <w:rPr>
          <w:b/>
        </w:rPr>
      </w:pPr>
      <w:r>
        <w:rPr>
          <w:b/>
        </w:rPr>
      </w:r>
    </w:p>
    <w:p>
      <w:pPr>
        <w:pStyle w:val="Normal"/>
        <w:spacing w:lineRule="auto" w:line="480"/>
        <w:ind w:firstLine="720" w:end="0"/>
        <w:rPr/>
      </w:pPr>
      <w:r>
        <w:rPr/>
        <w:t>Denton feels other penalties contained in the Standard Form RMR Agreement are unduly harsh and serve only to discourage parties from seeking RMR status.  The determination of the Hourly Standby Fee found in Section 9.D(7) of the Standard Form RMR Agreement and the determination of the Billing Capacity in Section 9.D(2) as adjusted by Section 9.D(3) of the Standard Form RMR Agreement to which the Hourly Standby Price is applied have mechanisms which double the reduction factors in the determination of the Hourly Standby Fee due the RMR unit owner.  In the case of the Billing Capacity, if an RMR unit fails to achieve its Billing Capacity under test, the Billing Capacity is reduced by 2% for every one percent of shortfall.  Additionally, if an RMR unit fails to achieve at least an 85% availability rating over the course of a six month period, its Hourly Standby Price is reduced by 2% for every one percent of availability under 85%.</w:t>
      </w:r>
    </w:p>
    <w:p>
      <w:pPr>
        <w:pStyle w:val="BodyTextIndent"/>
        <w:rPr/>
      </w:pPr>
      <w:r>
        <w:rPr/>
        <w:t>Denton recognizes that ERCOT should not pay for services it does not receive.  The only effect of these doubling mechanisms is to dissuade potential RMR unit owners from applying for RMR status.  Denton restates its previous point that many of these potential RMR units are old technology units that, while still valuable under certain conditions, do not have the ability to achieve the level of sustained operations capable from newer technology units and required by the current ERCOT Protocols.  The Standard Form RMR Agreement should be revised to remove the mechanisms that result in a doubling of the penalties for failure to meet what are rigid standards for many of these older units.  Penalties without the doubling mechanism would ensure that RMR unit owners are penalized for non-performance and ERCOT would not be paying for services which it does not receive.  However, the penalties would be more in line with the impact of the failure to provide service and would not have the chilling effect of discouraging potential RMR units from contracting with ERCOT for the provision of RMR services.  Again, this would allow ERCOT to use RMR services necessary for curing reliability concerns and reduce reliance on the voluntary OOM service to cure reliability problems.</w:t>
      </w:r>
    </w:p>
    <w:p>
      <w:pPr>
        <w:pStyle w:val="BodyText2"/>
        <w:rPr/>
      </w:pPr>
      <w:r>
        <w:rPr/>
      </w:r>
    </w:p>
    <w:p>
      <w:pPr>
        <w:pStyle w:val="BodyText2"/>
        <w:rPr/>
      </w:pPr>
      <w:r>
        <w:rPr/>
        <w:t>Denton 5 – Should the Protocols address the regional needs for brownfield development of new generation in non-attainment areas?</w:t>
      </w:r>
    </w:p>
    <w:p>
      <w:pPr>
        <w:pStyle w:val="BodyText2"/>
        <w:rPr/>
      </w:pPr>
      <w:r>
        <w:rPr/>
      </w:r>
    </w:p>
    <w:p>
      <w:pPr>
        <w:pStyle w:val="Normal"/>
        <w:spacing w:lineRule="auto" w:line="480"/>
        <w:ind w:firstLine="720" w:end="0"/>
        <w:rPr/>
      </w:pPr>
      <w:r>
        <w:rPr/>
        <w:t>The current ERCOT Protocols covering RMR services do not adequately address regional needs for brownfield development of new generation in non-attainment areas.  Brownfield development at existing generation sites could, over time, provide more reliable RMR services at lower costs to ERCOT customers.</w:t>
      </w:r>
    </w:p>
    <w:p>
      <w:pPr>
        <w:pStyle w:val="Normal"/>
        <w:spacing w:lineRule="auto" w:line="480"/>
        <w:ind w:firstLine="720" w:end="0"/>
        <w:rPr/>
      </w:pPr>
      <w:r>
        <w:rPr/>
        <w:t xml:space="preserve">The Commission is keenly aware of the reliability problems that are occurring in the DFW non-attainment area.  This awareness is evidenced by the workshop sponsored by the Commission in November, 2000, addressing reliability in the DFW area.  At this workshop, ERCOT reported that it believes a combination of new voltage support projects, strategic additions to the regional transmission system, and keeping an appropriate level of generation within the area are the best long term solutions to the DFW reliability problem.  Additionally, ERCOT went on to say that the existing 138 kW system in the DFW area, which connects most of the existing load and generation in the area, is inadequate to handle significant increases in generation.  These issues, combined with stricter emission restrictions being imposed by the new State Implementation Plan of the Texas Natural Resource Conservation Commission, make siting of new generation sources within the area difficult.  This results in an even greater dependence on the existing generation in the DFW area to maintain reliability.  </w:t>
      </w:r>
    </w:p>
    <w:p>
      <w:pPr>
        <w:pStyle w:val="Normal"/>
        <w:spacing w:lineRule="auto" w:line="480"/>
        <w:ind w:firstLine="720" w:end="0"/>
        <w:rPr/>
      </w:pPr>
      <w:r>
        <w:rPr/>
        <w:t>As Denton has mentioned previously, many of these generation sources are old technology units.  In ERCOT’s presentation at the Commission’s workshop on DFW reliability, it was shown that of the existing generating capacity in the DFW area, over two-thirds of that capacity came from plants with units over 30 years old.  Additionally, there is very little interest from private parties in siting additional generation in the DFW non-attainment area due to emission limitations and the lack of sufficient price signals from the market to warrant dealing with these emission limitations and the additional costs they impose on plant development.  Without sufficient incentive to build new units, the region will continue to rely on these older units until an alternative to offset this reliance on existing generation is found.</w:t>
      </w:r>
    </w:p>
    <w:p>
      <w:pPr>
        <w:pStyle w:val="Normal"/>
        <w:spacing w:lineRule="auto" w:line="480"/>
        <w:ind w:firstLine="720" w:end="0"/>
        <w:rPr/>
      </w:pPr>
      <w:r>
        <w:rPr/>
        <w:t>This situation is an example of regulatory failure which can only be resolved by the removal of the regulatory impediments to building new generation in the non-attainment area (emissions limitations and their associated costs) or by removing the incremental cost barrier of building in a non-attainment area versus a nearby attainment area.  Because parties outside of the DFW non-attainment area do not see the direct benefit of improved reliability in this area, they have no market based incentive to incur the additional costs necessary to ensure this region’s reliability.  This is one of the main reasons it was so difficult to address RMR issues within the ERCOT stakeholder process.</w:t>
      </w:r>
    </w:p>
    <w:p>
      <w:pPr>
        <w:pStyle w:val="Normal"/>
        <w:spacing w:lineRule="auto" w:line="480"/>
        <w:ind w:firstLine="720" w:end="0"/>
        <w:rPr/>
      </w:pPr>
      <w:r>
        <w:rPr/>
        <w:t>The best approach to resolve this problem is to allow RMR unit owners, whose generation is imperative to reliability in the DFW area, to receive a Reliability Investment Charge (RIC) from ERCOT to recover the additional incremental expense of brownfield development in a non-attainment area over those costs that would be incurred in a nearby attainment area.  Because ERCOT has stated that the existing 138 kW system serving the DFW non-attainment area cannot necessarily support the influx of new generation in all parts of the non-attainment area, the RIC should be limited to projects at existing sites.  These projects could include projects necessary to meet additional emission restrictions, re-powering of existing units, or new generation at existing sites.  To ensure that these projects will maintain or improve reliability within the area, the PUC should approve or reject these projects based on a recommendation from ERCOT.  Denton proposes that the amount of the RIC be negotiated between ERCOT and the RMR unit owner prior to contracting for RMR status and repayment would occur over the term of the RMR agreement, or longer, should ERCOT desire.</w:t>
      </w:r>
    </w:p>
    <w:p>
      <w:pPr>
        <w:pStyle w:val="Normal"/>
        <w:rPr>
          <w:b/>
        </w:rPr>
      </w:pPr>
      <w:r>
        <w:rPr>
          <w:b/>
        </w:rPr>
      </w:r>
    </w:p>
    <w:p>
      <w:pPr>
        <w:pStyle w:val="Normal"/>
        <w:rPr>
          <w:b/>
        </w:rPr>
      </w:pPr>
      <w:r>
        <w:rPr>
          <w:b/>
        </w:rPr>
        <w:t>Denton 6 – Should an RMR unit owner be able to use the unit for self-provision and should ERCOT withhold 10% of gross revenues from sales allowed in the Balancing Energy Market?</w:t>
      </w:r>
    </w:p>
    <w:p>
      <w:pPr>
        <w:pStyle w:val="Normal"/>
        <w:rPr>
          <w:b/>
        </w:rPr>
      </w:pPr>
      <w:r>
        <w:rPr>
          <w:b/>
        </w:rPr>
      </w:r>
    </w:p>
    <w:p>
      <w:pPr>
        <w:pStyle w:val="Normal"/>
        <w:spacing w:lineRule="auto" w:line="480"/>
        <w:ind w:firstLine="720" w:end="0"/>
        <w:rPr/>
      </w:pPr>
      <w:r>
        <w:rPr/>
        <w:t>Denton takes exception to the operational limitations imposed by the ERCOT Protocols in Section 6.5.9 and in the Standard Form RMR Agreement, which prohibit the RMR unit owner’s ability to use the RMR unit for 1) participation in the bilateral capacity and energy markets; 2) self provision of energy; 3) self-arranged ancillary services; or 4) the ancillary services market.  The ERCOT Protocols limit an RMR unit owner’s usage of the RMR unit to participation in the Balancing Energy Market during times when ERCOT is not requesting the full capacity of the unit.  Additionally, Denton does not agree with language found in Section 8.C(4) of the Standard Form RMR Agreement that calls for ERCOT to withhold 10% of the gross revenues from these sales from the RMR unit owner.</w:t>
      </w:r>
    </w:p>
    <w:p>
      <w:pPr>
        <w:pStyle w:val="Normal"/>
        <w:spacing w:lineRule="auto" w:line="480"/>
        <w:ind w:firstLine="720" w:end="0"/>
        <w:rPr/>
      </w:pPr>
      <w:r>
        <w:rPr/>
        <w:t xml:space="preserve">ERCOT should have first priority for the capacity and energy from a contracted RMR unit.  However, the operating restrictions imposed on the RMR unit owner are arbitrary and do nothing to enhance ERCOT’s ability to call on these RMR units as needed to cure reliability concerns.  If an RMR unit is being run at full capacity by the RMR unit owner, regardless of the reason, it is already providing all of the reliability assistance it can to the ERCOT system at no incremental costs to ERCOT.  </w:t>
      </w:r>
    </w:p>
    <w:p>
      <w:pPr>
        <w:pStyle w:val="Normal"/>
        <w:spacing w:lineRule="auto" w:line="480"/>
        <w:ind w:firstLine="720" w:end="0"/>
        <w:rPr/>
      </w:pPr>
      <w:r>
        <w:rPr/>
        <w:t>Denton does recognize that such usage, without a proper crediting mechanism, could lead to cost subsidization issues.  However, Denton also notes that failure to allow an RMR unit to be used for self-provision also exposes the RMR unit owner to extremely high energy prices during times of congestion on the ERCOT system.  The potential for market power abuses in areas served by one dominant generator, such as the DFW area, has been previously discussed in these comments.  Without the ability to utilize RMR units for self-provision, the RMR unit owner is totally exposed to these potential market power abuses when it must procure energy that could have been provided from the RMR unit during periods of congestion.  Being allowed to use the RMR unit for self-provision would avoid this occurrence because the RMR unit owner could obtain energy from its RMR unit with appropriate credits to ERCOT for such self-usage.  This would not only assist in curing the congestion at a lower cost to ERCOT, but also reduce the potential for market power abuses by a dominant generator within the congestion zone.</w:t>
      </w:r>
    </w:p>
    <w:p>
      <w:pPr>
        <w:pStyle w:val="Normal"/>
        <w:spacing w:lineRule="auto" w:line="480"/>
        <w:ind w:firstLine="720" w:end="0"/>
        <w:rPr/>
      </w:pPr>
      <w:r>
        <w:rPr/>
        <w:t>For this reason, an RMR unit owner should be allowed to use the RMR unit that is not being fully dispatched by ERCOT for whatever reason it deems appropriate in the immediate market.  The RMR unit owner should not be allowed to sell the capacity or energy from an RMR unit to other parties over time as this would represent a double selling of future capacity.  The RMR unit owner should credit ERCOT on a monthly basis for non-ERCOT use of capacity by an amount equal to a percentage determined by the total number of hours in the month that the plant was used for non-RMR purposes divided by the total number of hours in that month times the sum of the Hourly Standby Fees for that month.</w:t>
      </w:r>
    </w:p>
    <w:p>
      <w:pPr>
        <w:pStyle w:val="Normal"/>
        <w:spacing w:lineRule="auto" w:line="480"/>
        <w:ind w:firstLine="720" w:end="0"/>
        <w:rPr/>
      </w:pPr>
      <w:r>
        <w:rPr/>
        <w:t>Denton also excepts to ERCOT’s taking of 10% of the gross revenues from any sales into the Balancing Energy Market.  RMR contracting should be entered into by ERCOT strictly for reliability reasons and not as a potential profit center for ERCOT.  Because the 10% of gross revenue penalty is not reliability based, it should be removed from the ERCOT Protocols and the Standard Form RMR Agreement.  Again, the net effect of ERCOT taking this 10% of gross revenue is simply to create windfall profits for ERCOT and disadvantage RMR unit owners when they attempt to use these units for their own needs during times of non-usage by ERCOT.  This again discourages potential RMR unit owners from entering into an RMR contract with ERCOT, and forces ERCOT to rely more on the OOM market to satisfy reliability concerns.</w:t>
      </w:r>
    </w:p>
    <w:p>
      <w:pPr>
        <w:pStyle w:val="Normal"/>
        <w:rPr/>
      </w:pPr>
      <w:r>
        <w:rPr/>
        <w:tab/>
        <w:tab/>
        <w:tab/>
        <w:tab/>
        <w:tab/>
        <w:tab/>
        <w:t>Respectfully submitted,</w:t>
      </w:r>
    </w:p>
    <w:p>
      <w:pPr>
        <w:pStyle w:val="Normal"/>
        <w:rPr/>
      </w:pPr>
      <w:r>
        <w:rPr/>
      </w:r>
    </w:p>
    <w:p>
      <w:pPr>
        <w:pStyle w:val="Normal"/>
        <w:widowControl w:val="false"/>
        <w:ind w:start="4320" w:end="0"/>
        <w:rPr>
          <w:lang w:eastAsia="en-US"/>
        </w:rPr>
      </w:pPr>
      <w:r>
        <w:rPr>
          <w:lang w:eastAsia="en-US"/>
        </w:rPr>
        <w:t>LLOYD, GOSSELINK, BLEVINS,</w:t>
      </w:r>
    </w:p>
    <w:p>
      <w:pPr>
        <w:pStyle w:val="Normal"/>
        <w:widowControl w:val="false"/>
        <w:ind w:start="4320" w:end="0"/>
        <w:rPr>
          <w:lang w:eastAsia="en-US"/>
        </w:rPr>
      </w:pPr>
      <w:r>
        <w:rPr>
          <w:lang w:eastAsia="en-US"/>
        </w:rPr>
        <w:t xml:space="preserve">  </w:t>
      </w:r>
      <w:r>
        <w:rPr>
          <w:lang w:eastAsia="en-US"/>
        </w:rPr>
        <w:t>ROCHELLE, BALDWIN &amp; TOWNSEND, P.C.</w:t>
      </w:r>
    </w:p>
    <w:p>
      <w:pPr>
        <w:pStyle w:val="Normal"/>
        <w:widowControl w:val="false"/>
        <w:ind w:start="4320" w:end="0"/>
        <w:rPr>
          <w:lang w:eastAsia="en-US"/>
        </w:rPr>
      </w:pPr>
      <w:r>
        <w:rPr>
          <w:lang w:eastAsia="en-US"/>
        </w:rPr>
        <w:t>111 Congress Avenue, Suite 1800</w:t>
      </w:r>
    </w:p>
    <w:p>
      <w:pPr>
        <w:pStyle w:val="Normal"/>
        <w:widowControl w:val="false"/>
        <w:ind w:start="4320" w:end="0"/>
        <w:rPr>
          <w:lang w:eastAsia="en-US"/>
        </w:rPr>
      </w:pPr>
      <w:r>
        <w:rPr>
          <w:lang w:eastAsia="en-US"/>
        </w:rPr>
        <w:t>Austin, Texas  78701</w:t>
      </w:r>
    </w:p>
    <w:p>
      <w:pPr>
        <w:pStyle w:val="Normal"/>
        <w:widowControl w:val="false"/>
        <w:ind w:start="4320" w:end="0"/>
        <w:rPr>
          <w:lang w:eastAsia="en-US"/>
        </w:rPr>
      </w:pPr>
      <w:r>
        <w:rPr>
          <w:lang w:eastAsia="en-US"/>
        </w:rPr>
        <w:t>(512) 322-5830</w:t>
      </w:r>
    </w:p>
    <w:p>
      <w:pPr>
        <w:pStyle w:val="Normal"/>
        <w:widowControl w:val="false"/>
        <w:ind w:start="4320" w:end="0"/>
        <w:rPr>
          <w:lang w:eastAsia="en-US"/>
        </w:rPr>
      </w:pPr>
      <w:r>
        <w:rPr>
          <w:lang w:eastAsia="en-US"/>
        </w:rPr>
        <w:t>Fax: (512) 472-0532</w:t>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_______________________________________</w:t>
      </w:r>
    </w:p>
    <w:p>
      <w:pPr>
        <w:pStyle w:val="Normal"/>
        <w:widowControl w:val="false"/>
        <w:suppressAutoHyphens w:val="true"/>
        <w:ind w:start="4320" w:end="0"/>
        <w:rPr>
          <w:spacing w:val="-3"/>
          <w:lang w:eastAsia="en-US"/>
        </w:rPr>
      </w:pPr>
      <w:r>
        <w:rPr>
          <w:spacing w:val="-3"/>
          <w:lang w:eastAsia="en-US"/>
        </w:rPr>
        <w:t>LAMBETH TOWNSEND</w:t>
      </w:r>
    </w:p>
    <w:p>
      <w:pPr>
        <w:pStyle w:val="Normal"/>
        <w:ind w:start="4320" w:end="0"/>
        <w:rPr>
          <w:spacing w:val="-3"/>
          <w:lang w:eastAsia="en-US"/>
        </w:rPr>
      </w:pPr>
      <w:r>
        <w:rPr>
          <w:spacing w:val="-3"/>
          <w:lang w:eastAsia="en-US"/>
        </w:rPr>
        <w:t>State Bar No. 20167500</w:t>
      </w:r>
    </w:p>
    <w:p>
      <w:pPr>
        <w:pStyle w:val="Normal"/>
        <w:widowControl w:val="false"/>
        <w:ind w:start="4320" w:end="0"/>
        <w:rPr>
          <w:lang w:eastAsia="en-US"/>
        </w:rPr>
      </w:pPr>
      <w:r>
        <w:rPr>
          <w:lang w:eastAsia="en-US"/>
        </w:rPr>
      </w:r>
    </w:p>
    <w:p>
      <w:pPr>
        <w:pStyle w:val="Normal"/>
        <w:widowControl w:val="false"/>
        <w:suppressAutoHyphens w:val="true"/>
        <w:ind w:start="4320" w:end="0"/>
        <w:rPr>
          <w:spacing w:val="-3"/>
          <w:lang w:eastAsia="en-US"/>
        </w:rPr>
      </w:pPr>
      <w:r>
        <w:rPr>
          <w:spacing w:val="-3"/>
          <w:lang w:eastAsia="en-US"/>
        </w:rPr>
        <w:t>RICHARD L. HAMALA</w:t>
      </w:r>
    </w:p>
    <w:p>
      <w:pPr>
        <w:pStyle w:val="Normal"/>
        <w:spacing w:lineRule="auto" w:line="360"/>
        <w:ind w:start="4320" w:end="0"/>
        <w:rPr/>
      </w:pPr>
      <w:r>
        <w:rPr>
          <w:spacing w:val="-3"/>
          <w:lang w:eastAsia="en-US"/>
        </w:rPr>
        <w:t xml:space="preserve">State Bar No. </w:t>
      </w:r>
      <w:r>
        <w:rPr/>
        <w:t>08810750</w:t>
      </w:r>
    </w:p>
    <w:p>
      <w:pPr>
        <w:pStyle w:val="Normal"/>
        <w:widowControl w:val="false"/>
        <w:tabs>
          <w:tab w:val="clear" w:pos="720"/>
          <w:tab w:val="left" w:pos="4680" w:leader="none"/>
        </w:tabs>
        <w:ind w:start="4320" w:end="0"/>
        <w:rPr>
          <w:lang w:eastAsia="en-US"/>
        </w:rPr>
      </w:pPr>
      <w:r>
        <w:rPr>
          <w:lang w:eastAsia="en-US"/>
        </w:rPr>
        <w:t>MELISSA E. RAMIREZ</w:t>
      </w:r>
    </w:p>
    <w:p>
      <w:pPr>
        <w:pStyle w:val="Normal"/>
        <w:widowControl w:val="false"/>
        <w:tabs>
          <w:tab w:val="clear" w:pos="720"/>
          <w:tab w:val="left" w:pos="4680" w:leader="none"/>
        </w:tabs>
        <w:ind w:start="4320" w:end="0"/>
        <w:rPr>
          <w:lang w:eastAsia="en-US"/>
        </w:rPr>
      </w:pPr>
      <w:r>
        <w:rPr>
          <w:lang w:eastAsia="en-US"/>
        </w:rPr>
        <w:t>State Bar No. 24027645</w:t>
      </w:r>
    </w:p>
    <w:p>
      <w:pPr>
        <w:pStyle w:val="Normal"/>
        <w:widowControl w:val="false"/>
        <w:suppressAutoHyphens w:val="true"/>
        <w:ind w:start="4320" w:end="0"/>
        <w:rPr>
          <w:spacing w:val="-3"/>
          <w:lang w:eastAsia="en-US"/>
        </w:rPr>
      </w:pPr>
      <w:r>
        <w:rPr>
          <w:spacing w:val="-3"/>
          <w:lang w:eastAsia="en-US"/>
        </w:rPr>
      </w:r>
    </w:p>
    <w:p>
      <w:pPr>
        <w:pStyle w:val="Normal"/>
        <w:spacing w:lineRule="auto" w:line="360"/>
        <w:ind w:start="4320" w:end="0"/>
        <w:rPr/>
      </w:pPr>
      <w:r>
        <w:rPr/>
        <w:t>ATTORNEYS FOR CITY OF DENTON</w:t>
      </w:r>
    </w:p>
    <w:p>
      <w:pPr>
        <w:pStyle w:val="Normal"/>
        <w:spacing w:lineRule="auto" w:line="360"/>
        <w:ind w:start="4320" w:end="0"/>
        <w:rPr/>
      </w:pPr>
      <w:r>
        <w:rPr/>
      </w:r>
    </w:p>
    <w:p>
      <w:pPr>
        <w:pStyle w:val="Normal"/>
        <w:jc w:val="center"/>
        <w:rPr>
          <w:b/>
          <w:u w:val="single"/>
        </w:rPr>
      </w:pPr>
      <w:r>
        <w:rPr>
          <w:b/>
          <w:u w:val="single"/>
        </w:rPr>
      </w:r>
    </w:p>
    <w:p>
      <w:pPr>
        <w:pStyle w:val="Normal"/>
        <w:jc w:val="center"/>
        <w:rPr>
          <w:b/>
          <w:u w:val="single"/>
        </w:rPr>
      </w:pPr>
      <w:r>
        <w:rPr>
          <w:b/>
          <w:u w:val="single"/>
        </w:rPr>
      </w:r>
      <w:r>
        <w:br w:type="page"/>
      </w:r>
    </w:p>
    <w:p>
      <w:pPr>
        <w:pStyle w:val="Normal"/>
        <w:jc w:val="center"/>
        <w:rPr>
          <w:b/>
          <w:u w:val="single"/>
        </w:rPr>
      </w:pPr>
      <w:r>
        <w:rPr>
          <w:b/>
          <w:u w:val="single"/>
        </w:rPr>
        <w:t>CERTIFICATE OF SERVICE</w:t>
      </w:r>
    </w:p>
    <w:p>
      <w:pPr>
        <w:pStyle w:val="Normal"/>
        <w:widowControl w:val="false"/>
        <w:rPr>
          <w:b/>
          <w:u w:val="single"/>
        </w:rPr>
      </w:pPr>
      <w:r>
        <w:rPr>
          <w:b/>
          <w:u w:val="single"/>
        </w:rPr>
      </w:r>
    </w:p>
    <w:p>
      <w:pPr>
        <w:pStyle w:val="Normal"/>
        <w:widowControl w:val="false"/>
        <w:rPr/>
      </w:pPr>
      <w:r>
        <w:rPr/>
        <w:tab/>
        <w:t>I, Melissa E. Ramirez attorney, certify that a copy of this document was served on all parties of record in this proceeding on this 26th day of January, 2001, in the following manner:  hand-delivered or sent by electronic mail.</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uppressAutoHyphens w:val="true"/>
        <w:ind w:start="4320" w:end="0"/>
        <w:rPr>
          <w:spacing w:val="-3"/>
        </w:rPr>
      </w:pPr>
      <w:r>
        <w:rPr>
          <w:spacing w:val="-3"/>
        </w:rPr>
        <w:t>____________________________________</w:t>
      </w:r>
    </w:p>
    <w:p>
      <w:pPr>
        <w:pStyle w:val="Normal"/>
        <w:widowControl w:val="false"/>
        <w:suppressAutoHyphens w:val="true"/>
        <w:ind w:start="4320" w:end="0"/>
        <w:rPr>
          <w:spacing w:val="-3"/>
        </w:rPr>
      </w:pPr>
      <w:r>
        <w:rPr>
          <w:spacing w:val="-3"/>
        </w:rPr>
        <w:t>MELISSA E. RAMIREZ</w:t>
      </w:r>
    </w:p>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sz w:val="16"/>
      </w:rPr>
      <w:t xml:space="preserve">9999/44/31/23220/pld01025 </w:t>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907" w:end="0"/>
        <w:rPr/>
      </w:pPr>
      <w:r>
        <w:rPr>
          <w:rStyle w:val="FootnoteCharacters"/>
        </w:rPr>
        <w:footnoteRef/>
      </w:r>
      <w:r>
        <w:rPr/>
        <w:t xml:space="preserve"> </w:t>
      </w:r>
      <w:r>
        <w:rPr/>
        <w:tab/>
        <w:t>All references to PURA are to the Public Utility Regulatory Act. Tex. Util. Code Ann. §§ 11.001-64.148 (Vernon 1998 &amp; Supp. 2000) (PURA).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695"/>
        </w:tabs>
        <w:ind w:start="1695" w:hanging="975"/>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spacing w:before="240" w:after="60"/>
      <w:jc w:val="start"/>
      <w:outlineLvl w:val="1"/>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Heading3"/>
    <w:next w:val="Normal"/>
    <w:qFormat/>
    <w:pPr>
      <w:numPr>
        <w:ilvl w:val="3"/>
        <w:numId w:val="1"/>
      </w:numPr>
      <w:spacing w:lineRule="auto" w:line="480" w:before="0" w:after="120"/>
      <w:ind w:hanging="720" w:start="2160" w:end="0"/>
      <w:jc w:val="start"/>
      <w:outlineLvl w:val="3"/>
    </w:pPr>
    <w:rPr>
      <w:rFonts w:ascii="Times New Roman" w:hAnsi="Times New Roman" w:cs="Times New Roman"/>
      <w:b/>
      <w:sz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rFonts w:ascii="Palatino Linotype" w:hAnsi="Palatino Linotype" w:cs="Palatino Linotype"/>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480"/>
    </w:pPr>
    <w:rPr/>
  </w:style>
  <w:style w:type="paragraph" w:styleId="BodyText2">
    <w:name w:val="Body Text 2"/>
    <w:basedOn w:val="Normal"/>
    <w:qFormat/>
    <w:pPr/>
    <w:rPr>
      <w:b/>
    </w:rPr>
  </w:style>
  <w:style w:type="paragraph" w:styleId="BodyTextIndent">
    <w:name w:val="Body Text Indent"/>
    <w:basedOn w:val="Normal"/>
    <w:pPr>
      <w:spacing w:lineRule="auto" w:line="480"/>
      <w:ind w:firstLine="720" w:start="0" w:end="0"/>
    </w:pPr>
    <w:rPr/>
  </w:style>
  <w:style w:type="paragraph" w:styleId="Docketnumber">
    <w:name w:val="Docket number"/>
    <w:basedOn w:val="Normal"/>
    <w:qFormat/>
    <w:pPr>
      <w:jc w:val="center"/>
    </w:pPr>
    <w:rPr>
      <w:b/>
      <w:caps/>
      <w:sz w:val="28"/>
    </w:rPr>
  </w:style>
  <w:style w:type="paragraph" w:styleId="Docketstyle">
    <w:name w:val="Docket style"/>
    <w:basedOn w:val="Normal"/>
    <w:qFormat/>
    <w:pPr>
      <w:keepNext w:val="true"/>
      <w:tabs>
        <w:tab w:val="clear" w:pos="720"/>
        <w:tab w:val="center" w:pos="4770" w:leader="none"/>
        <w:tab w:val="left" w:pos="5400" w:leader="none"/>
      </w:tabs>
      <w:spacing w:lineRule="auto" w:line="288"/>
    </w:pPr>
    <w:rPr>
      <w:b/>
      <w:caps/>
    </w:rPr>
  </w:style>
  <w:style w:type="paragraph" w:styleId="Documentheading">
    <w:name w:val="Document heading"/>
    <w:basedOn w:val="Normal"/>
    <w:qFormat/>
    <w:pPr>
      <w:keepNext w:val="true"/>
      <w:jc w:val="center"/>
    </w:pPr>
    <w:rPr>
      <w:b/>
      <w:caps/>
      <w:sz w:val="28"/>
    </w:rPr>
  </w:style>
  <w:style w:type="paragraph" w:styleId="FootnoteText">
    <w:name w:val="footnote text"/>
    <w:basedOn w:val="Normal"/>
    <w:pPr>
      <w:spacing w:before="0" w:after="120"/>
      <w:ind w:hanging="360" w:start="907" w:end="0"/>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2001-01-25T18:34:00Z</dcterms:created>
  <dc:creator>MER</dc:creator>
  <dc:description/>
  <dc:language>en-CA</dc:language>
  <cp:lastModifiedBy>JMC</cp:lastModifiedBy>
  <cp:lastPrinted>2001-01-26T13:08:00Z</cp:lastPrinted>
  <dcterms:modified xsi:type="dcterms:W3CDTF">2001-01-26T16:39:00Z</dcterms:modified>
  <cp:revision>17</cp:revision>
  <dc:subject/>
  <dc:title>Denton 1 – Should the RMR capacity and energy payments be revised to allow the unit owner to recover costs to provide those services, much like the OOM service payment structure</dc:title>
</cp:coreProperties>
</file>