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ketnumber"/>
        <w:rPr>
          <w:sz w:val="24"/>
        </w:rPr>
      </w:pPr>
      <w:r>
        <w:rPr>
          <w:sz w:val="24"/>
        </w:rPr>
      </w:r>
    </w:p>
    <w:p>
      <w:pPr>
        <w:pStyle w:val="Docketnumber"/>
        <w:rPr>
          <w:sz w:val="24"/>
        </w:rPr>
      </w:pPr>
      <w:r>
        <w:rPr>
          <w:sz w:val="24"/>
        </w:rPr>
      </w:r>
    </w:p>
    <w:p>
      <w:pPr>
        <w:pStyle w:val="Docketnumber"/>
        <w:rPr>
          <w:sz w:val="24"/>
        </w:rPr>
      </w:pPr>
      <w:r>
        <w:rPr>
          <w:sz w:val="24"/>
        </w:rPr>
        <w:t>DOCKET NO. 23220</w:t>
      </w:r>
    </w:p>
    <w:p>
      <w:pPr>
        <w:pStyle w:val="Docketnumber"/>
        <w:rPr>
          <w:sz w:val="24"/>
        </w:rPr>
      </w:pPr>
      <w:r>
        <w:rPr>
          <w:sz w:val="24"/>
        </w:rPr>
      </w:r>
    </w:p>
    <w:p>
      <w:pPr>
        <w:pStyle w:val="Docketstyle"/>
        <w:tabs>
          <w:tab w:val="left" w:pos="4320" w:leader="none"/>
          <w:tab w:val="center" w:pos="4770" w:leader="none"/>
          <w:tab w:val="left" w:pos="4860" w:leader="none"/>
          <w:tab w:val="left" w:pos="5400" w:leader="none"/>
        </w:tabs>
        <w:spacing w:lineRule="auto" w:line="240"/>
        <w:jc w:val="start"/>
        <w:rPr/>
      </w:pPr>
      <w:r>
        <w:rPr/>
        <w:t>petition of the electric</w:t>
        <w:tab/>
        <w:t>§</w:t>
        <w:tab/>
        <w:tab/>
        <w:t>public utility commision</w:t>
      </w:r>
    </w:p>
    <w:p>
      <w:pPr>
        <w:pStyle w:val="Docketstyle"/>
        <w:tabs>
          <w:tab w:val="left" w:pos="4320" w:leader="none"/>
          <w:tab w:val="center" w:pos="4770" w:leader="none"/>
          <w:tab w:val="left" w:pos="5400" w:leader="none"/>
        </w:tabs>
        <w:spacing w:lineRule="auto" w:line="240"/>
        <w:jc w:val="start"/>
        <w:rPr/>
      </w:pPr>
      <w:r>
        <w:rPr/>
        <w:t>reliability council of texas</w:t>
        <w:tab/>
        <w:t>§</w:t>
      </w:r>
    </w:p>
    <w:p>
      <w:pPr>
        <w:pStyle w:val="Docketstyle"/>
        <w:tabs>
          <w:tab w:val="left" w:pos="4320" w:leader="none"/>
          <w:tab w:val="center" w:pos="4770" w:leader="none"/>
          <w:tab w:val="left" w:pos="5400" w:leader="none"/>
        </w:tabs>
        <w:spacing w:lineRule="auto" w:line="240"/>
        <w:jc w:val="start"/>
        <w:rPr/>
      </w:pPr>
      <w:r>
        <w:rPr/>
        <w:t>for approval of the ercot</w:t>
        <w:tab/>
        <w:t>§</w:t>
        <w:tab/>
        <w:tab/>
        <w:tab/>
        <w:t>of Texas</w:t>
      </w:r>
    </w:p>
    <w:p>
      <w:pPr>
        <w:pStyle w:val="Docketstyle"/>
        <w:tabs>
          <w:tab w:val="left" w:pos="4320" w:leader="none"/>
          <w:tab w:val="center" w:pos="4770" w:leader="none"/>
          <w:tab w:val="left" w:pos="5400" w:leader="none"/>
        </w:tabs>
        <w:spacing w:lineRule="auto" w:line="240"/>
        <w:jc w:val="start"/>
        <w:rPr/>
      </w:pPr>
      <w:r>
        <w:rPr/>
        <w:t>protocols</w:t>
        <w:tab/>
        <w:t>§</w:t>
      </w:r>
    </w:p>
    <w:p>
      <w:pPr>
        <w:pStyle w:val="Documentheading"/>
        <w:spacing w:lineRule="auto" w:line="360"/>
        <w:rPr>
          <w:sz w:val="24"/>
        </w:rPr>
      </w:pPr>
      <w:r>
        <w:rPr>
          <w:sz w:val="24"/>
        </w:rPr>
      </w:r>
    </w:p>
    <w:p>
      <w:pPr>
        <w:pStyle w:val="Normal"/>
        <w:jc w:val="center"/>
        <w:rPr>
          <w:b/>
          <w:sz w:val="24"/>
          <w:u w:val="single"/>
        </w:rPr>
      </w:pPr>
      <w:r>
        <w:rPr>
          <w:b/>
          <w:sz w:val="24"/>
          <w:u w:val="single"/>
        </w:rPr>
      </w:r>
    </w:p>
    <w:p>
      <w:pPr>
        <w:pStyle w:val="Normal"/>
        <w:jc w:val="center"/>
        <w:rPr>
          <w:b/>
          <w:u w:val="single"/>
        </w:rPr>
      </w:pPr>
      <w:r>
        <w:rPr>
          <w:b/>
          <w:u w:val="single"/>
        </w:rPr>
        <w:t>CITY OF GARLAND’S BRIEF</w:t>
      </w:r>
    </w:p>
    <w:p>
      <w:pPr>
        <w:pStyle w:val="BodyText2"/>
        <w:spacing w:lineRule="auto" w:line="360"/>
        <w:rPr>
          <w:b w:val="false"/>
          <w:u w:val="single"/>
        </w:rPr>
      </w:pPr>
      <w:r>
        <w:rPr>
          <w:b w:val="false"/>
          <w:u w:val="single"/>
        </w:rPr>
      </w:r>
    </w:p>
    <w:p>
      <w:pPr>
        <w:pStyle w:val="Normal"/>
        <w:spacing w:lineRule="auto" w:line="480"/>
        <w:rPr/>
      </w:pPr>
      <w:r>
        <w:rPr/>
        <w:tab/>
        <w:t>City of Garland (Garland) hereby files its Brief on certain issues regarding the Electric Reliability Council of Texas’ (ERCOT) petition for approval of the ERCOT Protocols.</w:t>
      </w:r>
    </w:p>
    <w:p>
      <w:pPr>
        <w:pStyle w:val="Heading1"/>
        <w:spacing w:lineRule="auto" w:line="480"/>
        <w:ind w:hanging="0" w:start="0"/>
        <w:rPr/>
      </w:pPr>
      <w:r>
        <w:rPr/>
      </w:r>
    </w:p>
    <w:p>
      <w:pPr>
        <w:pStyle w:val="Heading1"/>
        <w:spacing w:lineRule="auto" w:line="480"/>
        <w:ind w:hanging="0" w:start="0"/>
        <w:rPr/>
      </w:pPr>
      <w:r>
        <w:rPr/>
        <w:t>I.  INTRODUCTION</w:t>
      </w:r>
    </w:p>
    <w:p>
      <w:pPr>
        <w:pStyle w:val="Normal"/>
        <w:spacing w:lineRule="auto" w:line="480"/>
        <w:rPr/>
      </w:pPr>
      <w:r>
        <w:rPr/>
        <w:tab/>
        <w:t>Pursuant to § 39.151(d) of the Public Utility Regulatory Act (PURA),</w:t>
      </w:r>
      <w:r>
        <w:rPr>
          <w:rStyle w:val="FootnoteCharacters"/>
          <w:rStyle w:val="FootnoteReference"/>
        </w:rPr>
        <w:footnoteReference w:id="2"/>
      </w:r>
      <w:r>
        <w:rPr/>
        <w:t xml:space="preserve"> ERCOT, as the independent organization of the ERCOT “power region,” is required to “establish and enforce procedures, consistent with [PURA] and the commission’s rules, relating to the reliability of the regional electric network and accounting for the production and delivery of electricity among generators and all market participants,” subject to the oversight of the Commission.</w:t>
      </w:r>
    </w:p>
    <w:p>
      <w:pPr>
        <w:pStyle w:val="BodyText2"/>
        <w:spacing w:lineRule="auto" w:line="480"/>
        <w:rPr/>
      </w:pPr>
      <w:r>
        <w:rPr/>
        <w:tab/>
      </w:r>
      <w:r>
        <w:rPr>
          <w:b w:val="false"/>
        </w:rPr>
        <w:t>Intervenors in this matter have filed a number of comments and issues that have been compiled by ERCOT into a Decision Point List.  Garland’s Brief addresses an issue as defined and labeled in that Decision Point List.  Garland contends that the issue addressed herein is a policy issue.</w:t>
      </w:r>
      <w:r>
        <w:br w:type="page"/>
      </w:r>
    </w:p>
    <w:p>
      <w:pPr>
        <w:pStyle w:val="Heading1"/>
        <w:ind w:hanging="0" w:start="0"/>
        <w:rPr/>
      </w:pPr>
      <w:r>
        <w:rPr/>
        <w:t>II.  DISCUSSION</w:t>
      </w:r>
    </w:p>
    <w:p>
      <w:pPr>
        <w:pStyle w:val="Normal"/>
        <w:rPr/>
      </w:pPr>
      <w:r>
        <w:rPr/>
      </w:r>
    </w:p>
    <w:p>
      <w:pPr>
        <w:pStyle w:val="BodyText2"/>
        <w:rPr/>
      </w:pPr>
      <w:r>
        <w:rPr/>
        <w:t>IM 2B – Is the treatment of the MOUs and the electric coops with regard to pre-assigned TCRs discriminatory and will it deprive other market participants from purchasing certain TCRs?</w:t>
      </w:r>
    </w:p>
    <w:p>
      <w:pPr>
        <w:pStyle w:val="BodyText2"/>
        <w:rPr/>
      </w:pPr>
      <w:r>
        <w:rPr/>
      </w:r>
    </w:p>
    <w:p>
      <w:pPr>
        <w:pStyle w:val="Normal"/>
        <w:spacing w:lineRule="auto" w:line="480"/>
        <w:rPr/>
      </w:pPr>
      <w:r>
        <w:rPr/>
        <w:tab/>
        <w:t xml:space="preserve">The treatment that is afforded municipally owned utilities (MOUs) and electric cooperatives (ECs) regarding pre-assigned transmission congestion rights (TCRs) </w:t>
      </w:r>
      <w:r>
        <w:rPr>
          <w:b/>
          <w:i/>
        </w:rPr>
        <w:t>is not</w:t>
      </w:r>
      <w:r>
        <w:rPr/>
        <w:t xml:space="preserve"> discriminatory or inequitable.  Pre-assigned TCRs are only applicable for delivering power from remote generation resources under contracts that were entered into prior to September 1, 1999, the effective date of Senate Bill 7.  Senate Bill 7 treated MOUs and ECs differently from investor owned utilities.  MOUs and ECs are allowed the option of choosing to participate in customer choice.  Their ability to refrain from participating in customer choice was protected by the Legislature in its adoption of Senate Bill 7.  Their ability to serve their native load customers is protected by Chapters 40 and 41 of PURA enacted by Senate Bill 7.  Their ability to serve their native load customers must also be protected by the protocols, which implement Senate Bill 7.  </w:t>
      </w:r>
    </w:p>
    <w:p>
      <w:pPr>
        <w:pStyle w:val="Normal"/>
        <w:spacing w:lineRule="auto" w:line="480"/>
        <w:rPr/>
      </w:pPr>
      <w:r>
        <w:rPr/>
        <w:tab/>
        <w:t>MOUs and ECs constructed transmission facilities and entered transmission service contracts for the purpose of serving their native load customers long before the Legislature adopted open access wholesale transmission service in 1995, and long before the Legislature adopted retail competition in 1999.  The ability of MOUs and ECs to have access to transmission facilities must be preserved so that open access transmission service and retail competition do not disconnect the customers of MOUs and ECs from their right to have electric service.  Pre</w:t>
        <w:noBreakHyphen/>
        <w:t>assigned TCRs ensure this right of access.  Pre-assigned TCRs are not a form of discrimination in favor of MOUs and ECs, but are instead a form of protection to prevent market forces from unfairly discriminating against participants with limited resources.</w:t>
      </w:r>
    </w:p>
    <w:p>
      <w:pPr>
        <w:pStyle w:val="Normal"/>
        <w:spacing w:lineRule="auto" w:line="480"/>
        <w:rPr/>
      </w:pPr>
      <w:r>
        <w:rPr/>
        <w:tab/>
        <w:t xml:space="preserve">The decision to create preassigned TCRs was reached through a consensus among the entities required to provide retail competition and MOUs and ECs.  Senate Bill 7 gave the MOUs and ECs the right to remain opted out of retail competition.  Prior to reaching a consensus, the Non-Opt-In MOUs and ECs had been moving towards creating multiple control areas and isolating themselves from ERCOT’s Competitive Control Area as a means of protecting their ability to economically deliver their remote wholesale resources to their customers.  Entities that were obligated to offer competitive retail choice proposed a market scheme that would accommodate their needs in retail competition.  One obstacle with their market scheme was the need to have a single ERCOT control area and not separate, multiple control areas for Non-Opt-In Entities and Competitive Entities.  The stakeholder process could not progress until the difference of views in regard to the number of control areas was resolved.  The entities required to provide retail competition assured the MOUs and ECs that pre-assigned transmission rights as described in Protocol Section 7.5.4.4 (Direct Allocation of TCRs) would be guaranteed if consensus could be reached on the single control area concept.  MOUs and ECs accepted the single control area concept, and a consensus was reached.  Therefore, affording MOUs and ECs eligibility for pre-assigned TCRs is not unfair or inequitable, and simply allows the single control area concept to work equitably for both Non-Opt-In Entities and Competitive Entities. </w:t>
      </w:r>
    </w:p>
    <w:p>
      <w:pPr>
        <w:pStyle w:val="Normal"/>
        <w:spacing w:lineRule="auto" w:line="480"/>
        <w:rPr/>
      </w:pPr>
      <w:r>
        <w:rPr/>
        <w:tab/>
        <w:tab/>
        <w:tab/>
        <w:tab/>
        <w:tab/>
        <w:tab/>
        <w:t>Respectfully submitted,</w:t>
      </w:r>
    </w:p>
    <w:p>
      <w:pPr>
        <w:pStyle w:val="Normal"/>
        <w:ind w:start="4320" w:end="0"/>
        <w:rPr>
          <w:color w:val="000000"/>
          <w:lang w:eastAsia="en-US"/>
        </w:rPr>
      </w:pPr>
      <w:r>
        <w:rPr>
          <w:color w:val="000000"/>
          <w:lang w:eastAsia="en-US"/>
        </w:rPr>
        <w:t>CHARLES M. HINTON, JR.</w:t>
      </w:r>
    </w:p>
    <w:p>
      <w:pPr>
        <w:pStyle w:val="Normal"/>
        <w:ind w:start="4320" w:end="0"/>
        <w:rPr>
          <w:color w:val="000000"/>
          <w:lang w:eastAsia="en-US"/>
        </w:rPr>
      </w:pPr>
      <w:r>
        <w:rPr>
          <w:color w:val="000000"/>
          <w:lang w:eastAsia="en-US"/>
        </w:rPr>
        <w:t>State Bar No. 09710500</w:t>
      </w:r>
    </w:p>
    <w:p>
      <w:pPr>
        <w:pStyle w:val="Normal"/>
        <w:ind w:start="4320" w:end="0"/>
        <w:rPr>
          <w:color w:val="000000"/>
          <w:lang w:eastAsia="en-US"/>
        </w:rPr>
      </w:pPr>
      <w:r>
        <w:rPr>
          <w:color w:val="000000"/>
          <w:lang w:eastAsia="en-US"/>
        </w:rPr>
        <w:t>City Attorney</w:t>
      </w:r>
    </w:p>
    <w:p>
      <w:pPr>
        <w:pStyle w:val="Normal"/>
        <w:ind w:start="4320" w:end="0"/>
        <w:rPr>
          <w:color w:val="000000"/>
          <w:lang w:eastAsia="en-US"/>
        </w:rPr>
      </w:pPr>
      <w:r>
        <w:rPr>
          <w:color w:val="000000"/>
          <w:lang w:eastAsia="en-US"/>
        </w:rPr>
        <w:t>CITY OF GARLAND</w:t>
      </w:r>
    </w:p>
    <w:p>
      <w:pPr>
        <w:pStyle w:val="Normal"/>
        <w:ind w:start="4320" w:end="0"/>
        <w:rPr>
          <w:color w:val="000000"/>
          <w:lang w:eastAsia="en-US"/>
        </w:rPr>
      </w:pPr>
      <w:r>
        <w:rPr>
          <w:color w:val="000000"/>
          <w:lang w:eastAsia="en-US"/>
        </w:rPr>
        <w:t>200 North 5th Street, Suite 125</w:t>
      </w:r>
    </w:p>
    <w:p>
      <w:pPr>
        <w:pStyle w:val="Normal"/>
        <w:ind w:start="4320" w:end="0"/>
        <w:rPr>
          <w:color w:val="000000"/>
          <w:lang w:eastAsia="en-US"/>
        </w:rPr>
      </w:pPr>
      <w:r>
        <w:rPr>
          <w:color w:val="000000"/>
          <w:lang w:eastAsia="en-US"/>
        </w:rPr>
        <w:t>Garland, Texas  75040</w:t>
      </w:r>
    </w:p>
    <w:p>
      <w:pPr>
        <w:pStyle w:val="Normal"/>
        <w:ind w:start="4320" w:end="0"/>
        <w:rPr>
          <w:color w:val="000000"/>
          <w:lang w:eastAsia="en-US"/>
        </w:rPr>
      </w:pPr>
      <w:r>
        <w:rPr>
          <w:color w:val="000000"/>
          <w:lang w:eastAsia="en-US"/>
        </w:rPr>
        <w:t>(972) 205-2380</w:t>
      </w:r>
    </w:p>
    <w:p>
      <w:pPr>
        <w:pStyle w:val="Normal"/>
        <w:ind w:start="4320" w:end="0"/>
        <w:rPr>
          <w:color w:val="000000"/>
          <w:lang w:eastAsia="en-US"/>
        </w:rPr>
      </w:pPr>
      <w:r>
        <w:rPr>
          <w:color w:val="000000"/>
          <w:lang w:eastAsia="en-US"/>
        </w:rPr>
        <w:t>Fax: (972) 205-2389</w:t>
      </w:r>
    </w:p>
    <w:p>
      <w:pPr>
        <w:pStyle w:val="Normal"/>
        <w:rPr>
          <w:color w:val="000000"/>
          <w:lang w:eastAsia="en-US"/>
        </w:rPr>
      </w:pPr>
      <w:r>
        <w:rPr>
          <w:color w:val="000000"/>
          <w:lang w:eastAsia="en-US"/>
        </w:rPr>
      </w:r>
      <w:r>
        <w:br w:type="page"/>
      </w:r>
    </w:p>
    <w:p>
      <w:pPr>
        <w:pStyle w:val="Normal"/>
        <w:widowControl w:val="false"/>
        <w:ind w:start="4320" w:end="0"/>
        <w:rPr>
          <w:lang w:eastAsia="en-US"/>
        </w:rPr>
      </w:pPr>
      <w:r>
        <w:rPr>
          <w:lang w:eastAsia="en-US"/>
        </w:rPr>
        <w:t>LLOYD, GOSSELINK, BLEVINS,</w:t>
      </w:r>
    </w:p>
    <w:p>
      <w:pPr>
        <w:pStyle w:val="Normal"/>
        <w:widowControl w:val="false"/>
        <w:ind w:start="4320" w:end="0"/>
        <w:rPr>
          <w:lang w:eastAsia="en-US"/>
        </w:rPr>
      </w:pPr>
      <w:r>
        <w:rPr>
          <w:lang w:eastAsia="en-US"/>
        </w:rPr>
        <w:t xml:space="preserve">  </w:t>
      </w:r>
      <w:r>
        <w:rPr>
          <w:lang w:eastAsia="en-US"/>
        </w:rPr>
        <w:t>ROCHELLE, BALDWIN &amp; TOWNSEND, P.C.</w:t>
      </w:r>
    </w:p>
    <w:p>
      <w:pPr>
        <w:pStyle w:val="Normal"/>
        <w:widowControl w:val="false"/>
        <w:ind w:start="4320" w:end="0"/>
        <w:rPr>
          <w:lang w:eastAsia="en-US"/>
        </w:rPr>
      </w:pPr>
      <w:r>
        <w:rPr>
          <w:lang w:eastAsia="en-US"/>
        </w:rPr>
        <w:t>111 Congress Avenue, Suite 1800</w:t>
      </w:r>
    </w:p>
    <w:p>
      <w:pPr>
        <w:pStyle w:val="Normal"/>
        <w:widowControl w:val="false"/>
        <w:ind w:start="4320" w:end="0"/>
        <w:rPr>
          <w:lang w:eastAsia="en-US"/>
        </w:rPr>
      </w:pPr>
      <w:r>
        <w:rPr>
          <w:lang w:eastAsia="en-US"/>
        </w:rPr>
        <w:t>Austin, Texas  78701</w:t>
      </w:r>
    </w:p>
    <w:p>
      <w:pPr>
        <w:pStyle w:val="Normal"/>
        <w:widowControl w:val="false"/>
        <w:ind w:start="4320" w:end="0"/>
        <w:rPr>
          <w:lang w:eastAsia="en-US"/>
        </w:rPr>
      </w:pPr>
      <w:r>
        <w:rPr>
          <w:lang w:eastAsia="en-US"/>
        </w:rPr>
        <w:t>(512) 322-5830</w:t>
      </w:r>
    </w:p>
    <w:p>
      <w:pPr>
        <w:pStyle w:val="Normal"/>
        <w:widowControl w:val="false"/>
        <w:ind w:start="4320" w:end="0"/>
        <w:rPr>
          <w:lang w:eastAsia="en-US"/>
        </w:rPr>
      </w:pPr>
      <w:r>
        <w:rPr>
          <w:lang w:eastAsia="en-US"/>
        </w:rPr>
        <w:t>Fax: (512) 472-0532</w:t>
      </w:r>
    </w:p>
    <w:p>
      <w:pPr>
        <w:pStyle w:val="Normal"/>
        <w:widowControl w:val="false"/>
        <w:ind w:start="4320" w:end="0"/>
        <w:rPr>
          <w:lang w:eastAsia="en-US"/>
        </w:rPr>
      </w:pPr>
      <w:r>
        <w:rPr>
          <w:lang w:eastAsia="en-US"/>
        </w:rPr>
      </w:r>
    </w:p>
    <w:p>
      <w:pPr>
        <w:pStyle w:val="Normal"/>
        <w:widowControl w:val="false"/>
        <w:ind w:start="4320" w:end="0"/>
        <w:rPr>
          <w:lang w:eastAsia="en-US"/>
        </w:rPr>
      </w:pPr>
      <w:r>
        <w:rPr>
          <w:lang w:eastAsia="en-US"/>
        </w:rPr>
      </w:r>
    </w:p>
    <w:p>
      <w:pPr>
        <w:pStyle w:val="Normal"/>
        <w:widowControl w:val="false"/>
        <w:ind w:start="4320" w:end="0"/>
        <w:rPr>
          <w:lang w:eastAsia="en-US"/>
        </w:rPr>
      </w:pPr>
      <w:r>
        <w:rPr>
          <w:lang w:eastAsia="en-US"/>
        </w:rPr>
      </w:r>
    </w:p>
    <w:p>
      <w:pPr>
        <w:pStyle w:val="Normal"/>
        <w:widowControl w:val="false"/>
        <w:suppressAutoHyphens w:val="true"/>
        <w:ind w:start="4320" w:end="0"/>
        <w:rPr>
          <w:spacing w:val="-3"/>
          <w:lang w:eastAsia="en-US"/>
        </w:rPr>
      </w:pPr>
      <w:r>
        <w:rPr>
          <w:spacing w:val="-3"/>
          <w:lang w:eastAsia="en-US"/>
        </w:rPr>
        <w:t>_______________________________________</w:t>
      </w:r>
    </w:p>
    <w:p>
      <w:pPr>
        <w:pStyle w:val="Normal"/>
        <w:widowControl w:val="false"/>
        <w:suppressAutoHyphens w:val="true"/>
        <w:ind w:start="4320" w:end="0"/>
        <w:rPr>
          <w:spacing w:val="-3"/>
          <w:lang w:eastAsia="en-US"/>
        </w:rPr>
      </w:pPr>
      <w:r>
        <w:rPr>
          <w:spacing w:val="-3"/>
          <w:lang w:eastAsia="en-US"/>
        </w:rPr>
        <w:t>LAMBETH TOWNSEND</w:t>
      </w:r>
    </w:p>
    <w:p>
      <w:pPr>
        <w:pStyle w:val="Normal"/>
        <w:ind w:start="4320" w:end="0"/>
        <w:rPr>
          <w:spacing w:val="-3"/>
          <w:lang w:eastAsia="en-US"/>
        </w:rPr>
      </w:pPr>
      <w:r>
        <w:rPr>
          <w:spacing w:val="-3"/>
          <w:lang w:eastAsia="en-US"/>
        </w:rPr>
        <w:t>State Bar No. 20167500</w:t>
      </w:r>
    </w:p>
    <w:p>
      <w:pPr>
        <w:pStyle w:val="Normal"/>
        <w:widowControl w:val="false"/>
        <w:ind w:start="4320" w:end="0"/>
        <w:rPr>
          <w:lang w:eastAsia="en-US"/>
        </w:rPr>
      </w:pPr>
      <w:r>
        <w:rPr>
          <w:lang w:eastAsia="en-US"/>
        </w:rPr>
      </w:r>
    </w:p>
    <w:p>
      <w:pPr>
        <w:pStyle w:val="Normal"/>
        <w:widowControl w:val="false"/>
        <w:suppressAutoHyphens w:val="true"/>
        <w:ind w:start="4320" w:end="0"/>
        <w:rPr>
          <w:spacing w:val="-3"/>
          <w:lang w:eastAsia="en-US"/>
        </w:rPr>
      </w:pPr>
      <w:r>
        <w:rPr>
          <w:spacing w:val="-3"/>
          <w:lang w:eastAsia="en-US"/>
        </w:rPr>
        <w:t>RICHARD L. HAMALA</w:t>
      </w:r>
    </w:p>
    <w:p>
      <w:pPr>
        <w:pStyle w:val="Normal"/>
        <w:spacing w:lineRule="auto" w:line="480"/>
        <w:ind w:start="4320" w:end="0"/>
        <w:rPr/>
      </w:pPr>
      <w:r>
        <w:rPr>
          <w:spacing w:val="-3"/>
          <w:lang w:eastAsia="en-US"/>
        </w:rPr>
        <w:t xml:space="preserve">State Bar No. </w:t>
      </w:r>
      <w:r>
        <w:rPr/>
        <w:t>08810750</w:t>
      </w:r>
    </w:p>
    <w:p>
      <w:pPr>
        <w:pStyle w:val="Normal"/>
        <w:widowControl w:val="false"/>
        <w:tabs>
          <w:tab w:val="clear" w:pos="720"/>
          <w:tab w:val="left" w:pos="4680" w:leader="none"/>
        </w:tabs>
        <w:ind w:start="4320" w:end="0"/>
        <w:rPr>
          <w:lang w:eastAsia="en-US"/>
        </w:rPr>
      </w:pPr>
      <w:r>
        <w:rPr>
          <w:lang w:eastAsia="en-US"/>
        </w:rPr>
        <w:t>MELISSA E. RAMIREZ</w:t>
      </w:r>
    </w:p>
    <w:p>
      <w:pPr>
        <w:pStyle w:val="Normal"/>
        <w:widowControl w:val="false"/>
        <w:tabs>
          <w:tab w:val="clear" w:pos="720"/>
          <w:tab w:val="left" w:pos="4680" w:leader="none"/>
        </w:tabs>
        <w:ind w:start="4320" w:end="0"/>
        <w:rPr>
          <w:lang w:eastAsia="en-US"/>
        </w:rPr>
      </w:pPr>
      <w:r>
        <w:rPr>
          <w:lang w:eastAsia="en-US"/>
        </w:rPr>
        <w:t>State Bar No. 24027645</w:t>
      </w:r>
    </w:p>
    <w:p>
      <w:pPr>
        <w:pStyle w:val="Normal"/>
        <w:widowControl w:val="false"/>
        <w:suppressAutoHyphens w:val="true"/>
        <w:ind w:start="4320" w:end="0"/>
        <w:rPr>
          <w:spacing w:val="-3"/>
          <w:lang w:eastAsia="en-US"/>
        </w:rPr>
      </w:pPr>
      <w:r>
        <w:rPr>
          <w:spacing w:val="-3"/>
          <w:lang w:eastAsia="en-US"/>
        </w:rPr>
      </w:r>
    </w:p>
    <w:p>
      <w:pPr>
        <w:pStyle w:val="Normal"/>
        <w:spacing w:lineRule="auto" w:line="360"/>
        <w:ind w:start="4320" w:end="0"/>
        <w:rPr/>
      </w:pPr>
      <w:r>
        <w:rPr/>
        <w:t>ATTORNEYS FOR CITY OF GARLAND</w:t>
      </w:r>
    </w:p>
    <w:p>
      <w:pPr>
        <w:pStyle w:val="Normal"/>
        <w:spacing w:lineRule="auto" w:line="360"/>
        <w:ind w:start="4320" w:end="0"/>
        <w:rPr/>
      </w:pPr>
      <w:r>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t>CERTIFICATE OF SERVICE</w:t>
      </w:r>
    </w:p>
    <w:p>
      <w:pPr>
        <w:pStyle w:val="Normal"/>
        <w:widowControl w:val="false"/>
        <w:rPr>
          <w:b/>
          <w:u w:val="single"/>
        </w:rPr>
      </w:pPr>
      <w:r>
        <w:rPr>
          <w:b/>
          <w:u w:val="single"/>
        </w:rPr>
      </w:r>
    </w:p>
    <w:p>
      <w:pPr>
        <w:pStyle w:val="Normal"/>
        <w:widowControl w:val="false"/>
        <w:rPr/>
      </w:pPr>
      <w:r>
        <w:rPr/>
        <w:tab/>
        <w:t>I, Melissa E. Ramirez attorney, certify that a copy of this document was served on all parties of record in this proceeding on this 26th day of January, 2001, in the following manner:  hand-delivered or sent by electronic mail.</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suppressAutoHyphens w:val="true"/>
        <w:ind w:start="4320" w:end="0"/>
        <w:rPr>
          <w:spacing w:val="-3"/>
        </w:rPr>
      </w:pPr>
      <w:r>
        <w:rPr>
          <w:spacing w:val="-3"/>
        </w:rPr>
        <w:t>____________________________________</w:t>
      </w:r>
    </w:p>
    <w:p>
      <w:pPr>
        <w:pStyle w:val="Normal"/>
        <w:widowControl w:val="false"/>
        <w:suppressAutoHyphens w:val="true"/>
        <w:ind w:start="4320" w:end="0"/>
        <w:rPr>
          <w:spacing w:val="-3"/>
        </w:rPr>
      </w:pPr>
      <w:r>
        <w:rPr>
          <w:spacing w:val="-3"/>
        </w:rPr>
        <w:t>MELISSA E. RAMIREZ</w:t>
      </w:r>
    </w:p>
    <w:p>
      <w:pPr>
        <w:pStyle w:val="Normal"/>
        <w:widowControl w:val="false"/>
        <w:rPr>
          <w:spacing w:val="-3"/>
        </w:rPr>
      </w:pPr>
      <w:r>
        <w:rPr>
          <w:spacing w:val="-3"/>
        </w:rPr>
      </w:r>
    </w:p>
    <w:sectPr>
      <w:footerReference w:type="default" r:id="rId2"/>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Linotyp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sz w:val="20"/>
      </w:rPr>
      <w:t>9999\44-31\23220\pld010125</w:t>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907" w:end="0"/>
        <w:rPr/>
      </w:pPr>
      <w:r>
        <w:rPr>
          <w:rStyle w:val="FootnoteCharacters"/>
        </w:rPr>
        <w:footnoteRef/>
      </w:r>
      <w:r>
        <w:rPr/>
        <w:t xml:space="preserve"> </w:t>
      </w:r>
      <w:r>
        <w:rPr/>
        <w:tab/>
        <w:t>All references to PURA are to the Public Utility Regulatory Act. Tex. Util. Code Ann. §§ 11.001-64.148 (Vernon 1998 &amp; Supp. 2000) (PURA).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pPr>
    <w:rPr>
      <w:rFonts w:ascii="Palatino Linotype" w:hAnsi="Palatino Linotype" w:cs="Palatino Linotype"/>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rPr>
  </w:style>
  <w:style w:type="paragraph" w:styleId="Docketnumber">
    <w:name w:val="Docket number"/>
    <w:basedOn w:val="Normal"/>
    <w:qFormat/>
    <w:pPr>
      <w:jc w:val="center"/>
    </w:pPr>
    <w:rPr>
      <w:b/>
      <w:caps/>
      <w:sz w:val="28"/>
    </w:rPr>
  </w:style>
  <w:style w:type="paragraph" w:styleId="Docketstyle">
    <w:name w:val="Docket style"/>
    <w:basedOn w:val="Normal"/>
    <w:qFormat/>
    <w:pPr>
      <w:keepNext w:val="true"/>
      <w:tabs>
        <w:tab w:val="clear" w:pos="720"/>
        <w:tab w:val="center" w:pos="4770" w:leader="none"/>
        <w:tab w:val="left" w:pos="5400" w:leader="none"/>
      </w:tabs>
      <w:spacing w:lineRule="auto" w:line="288"/>
    </w:pPr>
    <w:rPr>
      <w:b/>
      <w:caps/>
    </w:rPr>
  </w:style>
  <w:style w:type="paragraph" w:styleId="Documentheading">
    <w:name w:val="Document heading"/>
    <w:basedOn w:val="Normal"/>
    <w:qFormat/>
    <w:pPr>
      <w:keepNext w:val="true"/>
      <w:jc w:val="center"/>
    </w:pPr>
    <w:rPr>
      <w:b/>
      <w:caps/>
      <w:sz w:val="28"/>
    </w:rPr>
  </w:style>
  <w:style w:type="paragraph" w:styleId="FootnoteText">
    <w:name w:val="footnote text"/>
    <w:basedOn w:val="Normal"/>
    <w:pPr>
      <w:spacing w:before="0" w:after="120"/>
      <w:ind w:hanging="360" w:start="907" w:end="0"/>
    </w:pPr>
    <w:rPr>
      <w:sz w:val="20"/>
    </w:rPr>
  </w:style>
  <w:style w:type="paragraph" w:styleId="BodyTextIndent">
    <w:name w:val="Body Text Indent"/>
    <w:basedOn w:val="Normal"/>
    <w:pPr>
      <w:spacing w:lineRule="auto" w:line="48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2001-01-25T21:04:00Z</dcterms:created>
  <dc:creator>MER</dc:creator>
  <dc:description/>
  <dc:language>en-CA</dc:language>
  <cp:lastModifiedBy>JMC</cp:lastModifiedBy>
  <cp:lastPrinted>2001-01-26T12:13:00Z</cp:lastPrinted>
  <dcterms:modified xsi:type="dcterms:W3CDTF">2001-01-26T16:02:00Z</dcterms:modified>
  <cp:revision>13</cp:revision>
  <dc:subject/>
  <dc:title>DRAFT FOR REVIEW ONLY</dc:title>
</cp:coreProperties>
</file>