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ketnumber"/>
        <w:rPr>
          <w:sz w:val="24"/>
        </w:rPr>
      </w:pPr>
      <w:r>
        <w:rPr>
          <w:sz w:val="24"/>
        </w:rPr>
      </w:r>
    </w:p>
    <w:p>
      <w:pPr>
        <w:pStyle w:val="Docketnumber"/>
        <w:rPr>
          <w:sz w:val="24"/>
        </w:rPr>
      </w:pPr>
      <w:r>
        <w:rPr>
          <w:sz w:val="24"/>
        </w:rPr>
      </w:r>
    </w:p>
    <w:p>
      <w:pPr>
        <w:pStyle w:val="Docketnumber"/>
        <w:rPr>
          <w:sz w:val="24"/>
        </w:rPr>
      </w:pPr>
      <w:r>
        <w:rPr>
          <w:sz w:val="24"/>
        </w:rPr>
        <w:t>DOCKET NO. 23220</w:t>
      </w:r>
    </w:p>
    <w:p>
      <w:pPr>
        <w:pStyle w:val="Docketnumber"/>
        <w:rPr>
          <w:sz w:val="24"/>
        </w:rPr>
      </w:pPr>
      <w:r>
        <w:rPr>
          <w:sz w:val="24"/>
        </w:rPr>
      </w:r>
    </w:p>
    <w:p>
      <w:pPr>
        <w:pStyle w:val="Docketstyle"/>
        <w:tabs>
          <w:tab w:val="left" w:pos="4320" w:leader="none"/>
          <w:tab w:val="center" w:pos="4770" w:leader="none"/>
          <w:tab w:val="left" w:pos="4860" w:leader="none"/>
          <w:tab w:val="left" w:pos="5400" w:leader="none"/>
        </w:tabs>
        <w:spacing w:lineRule="auto" w:line="240"/>
        <w:jc w:val="start"/>
        <w:rPr/>
      </w:pPr>
      <w:r>
        <w:rPr/>
        <w:t>petition of the electric</w:t>
        <w:tab/>
        <w:t>§</w:t>
        <w:tab/>
        <w:tab/>
        <w:t>public utility commision</w:t>
      </w:r>
    </w:p>
    <w:p>
      <w:pPr>
        <w:pStyle w:val="Docketstyle"/>
        <w:tabs>
          <w:tab w:val="left" w:pos="4320" w:leader="none"/>
          <w:tab w:val="center" w:pos="4770" w:leader="none"/>
          <w:tab w:val="left" w:pos="5400" w:leader="none"/>
        </w:tabs>
        <w:spacing w:lineRule="auto" w:line="240"/>
        <w:jc w:val="start"/>
        <w:rPr/>
      </w:pPr>
      <w:r>
        <w:rPr/>
        <w:t>reliability council of texas</w:t>
        <w:tab/>
        <w:t>§</w:t>
      </w:r>
    </w:p>
    <w:p>
      <w:pPr>
        <w:pStyle w:val="Docketstyle"/>
        <w:tabs>
          <w:tab w:val="left" w:pos="4320" w:leader="none"/>
          <w:tab w:val="center" w:pos="4770" w:leader="none"/>
          <w:tab w:val="left" w:pos="5400" w:leader="none"/>
        </w:tabs>
        <w:spacing w:lineRule="auto" w:line="240"/>
        <w:jc w:val="start"/>
        <w:rPr/>
      </w:pPr>
      <w:r>
        <w:rPr/>
        <w:t>for approval of the ercot</w:t>
        <w:tab/>
        <w:t>§</w:t>
        <w:tab/>
        <w:tab/>
        <w:tab/>
        <w:t>of Texas</w:t>
      </w:r>
    </w:p>
    <w:p>
      <w:pPr>
        <w:pStyle w:val="Docketstyle"/>
        <w:tabs>
          <w:tab w:val="left" w:pos="4320" w:leader="none"/>
          <w:tab w:val="center" w:pos="4770" w:leader="none"/>
          <w:tab w:val="left" w:pos="5400" w:leader="none"/>
        </w:tabs>
        <w:spacing w:lineRule="auto" w:line="240"/>
        <w:jc w:val="start"/>
        <w:rPr/>
      </w:pPr>
      <w:r>
        <w:rPr/>
        <w:t>protocols</w:t>
        <w:tab/>
        <w:t>§</w:t>
      </w:r>
    </w:p>
    <w:p>
      <w:pPr>
        <w:pStyle w:val="Documentheading"/>
        <w:spacing w:lineRule="auto" w:line="360"/>
        <w:rPr>
          <w:sz w:val="24"/>
        </w:rPr>
      </w:pPr>
      <w:r>
        <w:rPr>
          <w:sz w:val="24"/>
        </w:rPr>
      </w:r>
    </w:p>
    <w:p>
      <w:pPr>
        <w:pStyle w:val="Normal"/>
        <w:jc w:val="center"/>
        <w:rPr>
          <w:b/>
          <w:u w:val="single"/>
        </w:rPr>
      </w:pPr>
      <w:r>
        <w:rPr>
          <w:b/>
          <w:u w:val="single"/>
        </w:rPr>
        <w:t>CAP ROCK ELECTRIC COOPERATIVE, INC.’S BRIEF</w:t>
      </w:r>
    </w:p>
    <w:p>
      <w:pPr>
        <w:pStyle w:val="BodyText2"/>
        <w:spacing w:lineRule="auto" w:line="360"/>
        <w:rPr>
          <w:b w:val="false"/>
          <w:u w:val="single"/>
        </w:rPr>
      </w:pPr>
      <w:r>
        <w:rPr>
          <w:b w:val="false"/>
          <w:u w:val="single"/>
        </w:rPr>
      </w:r>
    </w:p>
    <w:p>
      <w:pPr>
        <w:pStyle w:val="Normal"/>
        <w:spacing w:lineRule="auto" w:line="480"/>
        <w:rPr/>
      </w:pPr>
      <w:r>
        <w:rPr/>
        <w:tab/>
        <w:t>Cap Rock Electric Cooperative, Inc. (Cap Rock Electric) hereby files its Brief on certain issues regarding the Electric Reliability Council of Texas’ (ERCOT) petition for approval of the ERCOT Protocols.</w:t>
      </w:r>
    </w:p>
    <w:p>
      <w:pPr>
        <w:pStyle w:val="Heading1"/>
        <w:spacing w:lineRule="auto" w:line="480"/>
        <w:ind w:hanging="0" w:start="0"/>
        <w:rPr/>
      </w:pPr>
      <w:r>
        <w:rPr/>
        <w:t>I.  INTRODUCTION</w:t>
      </w:r>
    </w:p>
    <w:p>
      <w:pPr>
        <w:pStyle w:val="Normal"/>
        <w:spacing w:lineRule="auto" w:line="480"/>
        <w:rPr/>
      </w:pPr>
      <w:r>
        <w:rPr/>
        <w:tab/>
        <w:t>Pursuant to § 39.151(d) of the Public Utility Regulatory Act (PURA),</w:t>
      </w:r>
      <w:r>
        <w:rPr>
          <w:rStyle w:val="FootnoteCharacters"/>
          <w:rStyle w:val="FootnoteReference"/>
        </w:rPr>
        <w:footnoteReference w:id="2"/>
      </w:r>
      <w:r>
        <w:rPr/>
        <w:t xml:space="preserve"> ERCOT, as the independent organization of the ERCOT “power region,” is required to “establish and enforce procedures, consistent with [PURA] and the commission’s rules, relating to the reliability of the regional electric network and accounting for the production and delivery of electricity among generators and all market participants,” subject to the oversight of the Commission.</w:t>
      </w:r>
    </w:p>
    <w:p>
      <w:pPr>
        <w:pStyle w:val="BodyText2"/>
        <w:spacing w:lineRule="auto" w:line="480"/>
        <w:rPr/>
      </w:pPr>
      <w:r>
        <w:rPr/>
        <w:tab/>
      </w:r>
      <w:r>
        <w:rPr>
          <w:b w:val="false"/>
        </w:rPr>
        <w:t>Intervenors in this matter have filed a number of comments and issues that have been compiled by ERCOT into a Decision Point List.  Cap Rock Electric’s Brief addresses an issue that was added to the Decision Point List by Order No. 6.  Cap Rock Electric contends that the issue addressed herein is a legal issue.  Because the issue was added at a late date, Cap Rock Electric reserves the right to provide additional arguments in its reply brief.</w:t>
      </w:r>
      <w:r>
        <w:br w:type="page"/>
      </w:r>
    </w:p>
    <w:p>
      <w:pPr>
        <w:pStyle w:val="Heading1"/>
        <w:spacing w:lineRule="auto" w:line="480"/>
        <w:ind w:hanging="0" w:start="0"/>
        <w:rPr/>
      </w:pPr>
      <w:r>
        <w:rPr/>
      </w:r>
    </w:p>
    <w:p>
      <w:pPr>
        <w:pStyle w:val="Heading1"/>
        <w:spacing w:lineRule="auto" w:line="480"/>
        <w:ind w:hanging="0" w:start="0"/>
        <w:rPr/>
      </w:pPr>
      <w:r>
        <w:rPr/>
        <w:t>II.  DISCUSSION</w:t>
      </w:r>
    </w:p>
    <w:p>
      <w:pPr>
        <w:pStyle w:val="BodyText2"/>
        <w:rPr/>
      </w:pPr>
      <w:r>
        <w:rPr/>
        <w:t>Added Issue – Should Section 16 of the Protocols and Section 22, Attachment C (Standard Form Qualified Scheduling Entity Agreement) be amended to preclude a QSE from discriminating against non-affiliated market participants and to include provisions ensuring that such discrimination will not occur?</w:t>
      </w:r>
    </w:p>
    <w:p>
      <w:pPr>
        <w:pStyle w:val="BodyText2"/>
        <w:rPr/>
      </w:pPr>
      <w:r>
        <w:rPr/>
      </w:r>
    </w:p>
    <w:p>
      <w:pPr>
        <w:pStyle w:val="BodyText2"/>
        <w:rPr/>
      </w:pPr>
      <w:r>
        <w:rPr/>
      </w:r>
    </w:p>
    <w:p>
      <w:pPr>
        <w:pStyle w:val="Normal"/>
        <w:spacing w:lineRule="auto" w:line="480"/>
        <w:rPr/>
      </w:pPr>
      <w:r>
        <w:rPr/>
        <w:tab/>
        <w:t>The protocols require the use of a Qualified Scheduling Entity (QSE) to schedule power and energy required by retail loads.  ERCOT is responsible for certifying the QSE.  Currently, no provisions in the protocols ensure that QSEs will not discriminate against non-affiliated entities.  ERCOT has indicated that no protocol provisions are necessary because the competitive market for QSE services will function to negate any such problems.  However, if entities responsible for load are required to use a QSE, safeguards must be in place to protect against discrimination and market abuse by QSEs.</w:t>
      </w:r>
    </w:p>
    <w:p>
      <w:pPr>
        <w:pStyle w:val="Normal"/>
        <w:spacing w:lineRule="auto" w:line="480"/>
        <w:rPr/>
      </w:pPr>
      <w:r>
        <w:rPr/>
        <w:tab/>
        <w:t>Cap Rock Electric contends that Section 16 of the Protocols and Section 22, Attachment C, should be amended to preclude a QSE from discriminating against non-affiliated entities and to include provisions ensuring that discrimination will not occur.  There should be some mechanism in the protocols to set guidelines within which a QSE may function.  While the market should ideally work to the customer’s advantage, there should be additional reassurances in the protocols to ensure QSEs act in a non-discriminatory fashion.  For example, a QSE should be required to provide its services without tying the services to the purchase of power or energy from the QSE or its affiliate.</w:t>
      </w:r>
      <w:r>
        <w:br w:type="page"/>
      </w:r>
    </w:p>
    <w:p>
      <w:pPr>
        <w:pStyle w:val="Normal"/>
        <w:rPr/>
      </w:pPr>
      <w:r>
        <w:rPr/>
        <w:tab/>
        <w:tab/>
        <w:tab/>
        <w:tab/>
        <w:tab/>
        <w:tab/>
        <w:t>Respectfully submitted,</w:t>
      </w:r>
    </w:p>
    <w:p>
      <w:pPr>
        <w:pStyle w:val="Normal"/>
        <w:rPr/>
      </w:pPr>
      <w:r>
        <w:rPr/>
      </w:r>
    </w:p>
    <w:p>
      <w:pPr>
        <w:pStyle w:val="Normal"/>
        <w:widowControl w:val="false"/>
        <w:ind w:start="4320" w:end="0"/>
        <w:rPr>
          <w:lang w:eastAsia="en-US"/>
        </w:rPr>
      </w:pPr>
      <w:r>
        <w:rPr>
          <w:lang w:eastAsia="en-US"/>
        </w:rPr>
        <w:t>LLOYD, GOSSELINK, BLEVINS,</w:t>
      </w:r>
    </w:p>
    <w:p>
      <w:pPr>
        <w:pStyle w:val="Normal"/>
        <w:widowControl w:val="false"/>
        <w:ind w:start="4320" w:end="0"/>
        <w:rPr>
          <w:lang w:eastAsia="en-US"/>
        </w:rPr>
      </w:pPr>
      <w:r>
        <w:rPr>
          <w:lang w:eastAsia="en-US"/>
        </w:rPr>
        <w:t xml:space="preserve">  </w:t>
      </w:r>
      <w:r>
        <w:rPr>
          <w:lang w:eastAsia="en-US"/>
        </w:rPr>
        <w:t>ROCHELLE, BALDWIN &amp; TOWNSEND, P.C.</w:t>
      </w:r>
    </w:p>
    <w:p>
      <w:pPr>
        <w:pStyle w:val="Normal"/>
        <w:widowControl w:val="false"/>
        <w:ind w:start="4320" w:end="0"/>
        <w:rPr>
          <w:lang w:eastAsia="en-US"/>
        </w:rPr>
      </w:pPr>
      <w:r>
        <w:rPr>
          <w:lang w:eastAsia="en-US"/>
        </w:rPr>
        <w:t>111 Congress Avenue, Suite 1800</w:t>
      </w:r>
    </w:p>
    <w:p>
      <w:pPr>
        <w:pStyle w:val="Normal"/>
        <w:widowControl w:val="false"/>
        <w:ind w:start="4320" w:end="0"/>
        <w:rPr>
          <w:lang w:eastAsia="en-US"/>
        </w:rPr>
      </w:pPr>
      <w:r>
        <w:rPr>
          <w:lang w:eastAsia="en-US"/>
        </w:rPr>
        <w:t>Austin, Texas  78701</w:t>
      </w:r>
    </w:p>
    <w:p>
      <w:pPr>
        <w:pStyle w:val="Normal"/>
        <w:widowControl w:val="false"/>
        <w:ind w:start="4320" w:end="0"/>
        <w:rPr>
          <w:lang w:eastAsia="en-US"/>
        </w:rPr>
      </w:pPr>
      <w:r>
        <w:rPr>
          <w:lang w:eastAsia="en-US"/>
        </w:rPr>
        <w:t>(512) 322-5830</w:t>
      </w:r>
    </w:p>
    <w:p>
      <w:pPr>
        <w:pStyle w:val="Normal"/>
        <w:widowControl w:val="false"/>
        <w:ind w:start="4320" w:end="0"/>
        <w:rPr>
          <w:lang w:eastAsia="en-US"/>
        </w:rPr>
      </w:pPr>
      <w:r>
        <w:rPr>
          <w:lang w:eastAsia="en-US"/>
        </w:rPr>
        <w:t>Fax: (512) 472-0532</w:t>
      </w:r>
    </w:p>
    <w:p>
      <w:pPr>
        <w:pStyle w:val="Normal"/>
        <w:widowControl w:val="false"/>
        <w:ind w:start="4320" w:end="0"/>
        <w:rPr>
          <w:lang w:eastAsia="en-US"/>
        </w:rPr>
      </w:pPr>
      <w:r>
        <w:rPr>
          <w:lang w:eastAsia="en-US"/>
        </w:rPr>
      </w:r>
    </w:p>
    <w:p>
      <w:pPr>
        <w:pStyle w:val="Normal"/>
        <w:widowControl w:val="false"/>
        <w:ind w:start="4320" w:end="0"/>
        <w:rPr>
          <w:lang w:eastAsia="en-US"/>
        </w:rPr>
      </w:pPr>
      <w:r>
        <w:rPr>
          <w:lang w:eastAsia="en-US"/>
        </w:rPr>
      </w:r>
    </w:p>
    <w:p>
      <w:pPr>
        <w:pStyle w:val="Normal"/>
        <w:widowControl w:val="false"/>
        <w:ind w:start="4320" w:end="0"/>
        <w:rPr>
          <w:lang w:eastAsia="en-US"/>
        </w:rPr>
      </w:pPr>
      <w:r>
        <w:rPr>
          <w:lang w:eastAsia="en-US"/>
        </w:rPr>
      </w:r>
    </w:p>
    <w:p>
      <w:pPr>
        <w:pStyle w:val="Normal"/>
        <w:widowControl w:val="false"/>
        <w:suppressAutoHyphens w:val="true"/>
        <w:ind w:start="4320" w:end="0"/>
        <w:rPr>
          <w:spacing w:val="-3"/>
          <w:lang w:eastAsia="en-US"/>
        </w:rPr>
      </w:pPr>
      <w:r>
        <w:rPr>
          <w:spacing w:val="-3"/>
          <w:lang w:eastAsia="en-US"/>
        </w:rPr>
        <w:t>_______________________________________</w:t>
      </w:r>
    </w:p>
    <w:p>
      <w:pPr>
        <w:pStyle w:val="Normal"/>
        <w:widowControl w:val="false"/>
        <w:suppressAutoHyphens w:val="true"/>
        <w:ind w:start="4320" w:end="0"/>
        <w:rPr>
          <w:spacing w:val="-3"/>
          <w:lang w:eastAsia="en-US"/>
        </w:rPr>
      </w:pPr>
      <w:r>
        <w:rPr>
          <w:spacing w:val="-3"/>
          <w:lang w:eastAsia="en-US"/>
        </w:rPr>
        <w:t>LAMBETH TOWNSEND</w:t>
      </w:r>
    </w:p>
    <w:p>
      <w:pPr>
        <w:pStyle w:val="Normal"/>
        <w:ind w:start="4320" w:end="0"/>
        <w:rPr>
          <w:spacing w:val="-3"/>
          <w:lang w:eastAsia="en-US"/>
        </w:rPr>
      </w:pPr>
      <w:r>
        <w:rPr>
          <w:spacing w:val="-3"/>
          <w:lang w:eastAsia="en-US"/>
        </w:rPr>
        <w:t>State Bar No. 20167500</w:t>
      </w:r>
    </w:p>
    <w:p>
      <w:pPr>
        <w:pStyle w:val="Normal"/>
        <w:widowControl w:val="false"/>
        <w:ind w:start="4320" w:end="0"/>
        <w:rPr>
          <w:lang w:eastAsia="en-US"/>
        </w:rPr>
      </w:pPr>
      <w:r>
        <w:rPr>
          <w:lang w:eastAsia="en-US"/>
        </w:rPr>
      </w:r>
    </w:p>
    <w:p>
      <w:pPr>
        <w:pStyle w:val="Normal"/>
        <w:widowControl w:val="false"/>
        <w:suppressAutoHyphens w:val="true"/>
        <w:ind w:start="4320" w:end="0"/>
        <w:rPr>
          <w:spacing w:val="-3"/>
          <w:lang w:eastAsia="en-US"/>
        </w:rPr>
      </w:pPr>
      <w:r>
        <w:rPr>
          <w:spacing w:val="-3"/>
          <w:lang w:eastAsia="en-US"/>
        </w:rPr>
        <w:t>RICHARD L. HAMALA</w:t>
      </w:r>
    </w:p>
    <w:p>
      <w:pPr>
        <w:pStyle w:val="Normal"/>
        <w:spacing w:lineRule="auto" w:line="360"/>
        <w:ind w:start="4320" w:end="0"/>
        <w:rPr/>
      </w:pPr>
      <w:r>
        <w:rPr>
          <w:spacing w:val="-3"/>
          <w:lang w:eastAsia="en-US"/>
        </w:rPr>
        <w:t xml:space="preserve">State Bar No. </w:t>
      </w:r>
      <w:r>
        <w:rPr/>
        <w:t>08810750</w:t>
      </w:r>
    </w:p>
    <w:p>
      <w:pPr>
        <w:pStyle w:val="Normal"/>
        <w:widowControl w:val="false"/>
        <w:tabs>
          <w:tab w:val="clear" w:pos="720"/>
          <w:tab w:val="left" w:pos="4680" w:leader="none"/>
        </w:tabs>
        <w:ind w:start="4320" w:end="0"/>
        <w:rPr>
          <w:lang w:eastAsia="en-US"/>
        </w:rPr>
      </w:pPr>
      <w:r>
        <w:rPr>
          <w:lang w:eastAsia="en-US"/>
        </w:rPr>
        <w:t>MELISSA E. RAMIREZ</w:t>
      </w:r>
    </w:p>
    <w:p>
      <w:pPr>
        <w:pStyle w:val="Normal"/>
        <w:widowControl w:val="false"/>
        <w:tabs>
          <w:tab w:val="clear" w:pos="720"/>
          <w:tab w:val="left" w:pos="4680" w:leader="none"/>
        </w:tabs>
        <w:ind w:start="4320" w:end="0"/>
        <w:rPr>
          <w:lang w:eastAsia="en-US"/>
        </w:rPr>
      </w:pPr>
      <w:r>
        <w:rPr>
          <w:lang w:eastAsia="en-US"/>
        </w:rPr>
        <w:t>State Bar No. 24027645</w:t>
      </w:r>
    </w:p>
    <w:p>
      <w:pPr>
        <w:pStyle w:val="Normal"/>
        <w:widowControl w:val="false"/>
        <w:suppressAutoHyphens w:val="true"/>
        <w:ind w:start="4320" w:end="0"/>
        <w:rPr>
          <w:spacing w:val="-3"/>
          <w:lang w:eastAsia="en-US"/>
        </w:rPr>
      </w:pPr>
      <w:r>
        <w:rPr>
          <w:spacing w:val="-3"/>
          <w:lang w:eastAsia="en-US"/>
        </w:rPr>
      </w:r>
    </w:p>
    <w:p>
      <w:pPr>
        <w:pStyle w:val="Normal"/>
        <w:ind w:start="4320" w:end="0"/>
        <w:rPr/>
      </w:pPr>
      <w:r>
        <w:rPr/>
        <w:t>ATTORNEYS FOR CAP ROCK ELECTRIC</w:t>
      </w:r>
    </w:p>
    <w:p>
      <w:pPr>
        <w:pStyle w:val="Normal"/>
        <w:ind w:start="4320" w:end="0"/>
        <w:rPr/>
      </w:pPr>
      <w:r>
        <w:rPr/>
        <w:t>COOPERATIVE, INC.</w:t>
      </w:r>
    </w:p>
    <w:p>
      <w:pPr>
        <w:pStyle w:val="Normal"/>
        <w:spacing w:lineRule="auto" w:line="360"/>
        <w:ind w:start="4320" w:end="0"/>
        <w:rPr/>
      </w:pPr>
      <w:r>
        <w:rPr/>
      </w:r>
    </w:p>
    <w:p>
      <w:pPr>
        <w:pStyle w:val="Normal"/>
        <w:spacing w:lineRule="auto" w:line="360"/>
        <w:ind w:start="4320" w:end="0"/>
        <w:rPr/>
      </w:pPr>
      <w:r>
        <w:rPr/>
      </w:r>
    </w:p>
    <w:p>
      <w:pPr>
        <w:pStyle w:val="Normal"/>
        <w:spacing w:lineRule="auto" w:line="360"/>
        <w:ind w:start="4320" w:end="0"/>
        <w:rPr/>
      </w:pPr>
      <w:r>
        <w:rPr/>
      </w:r>
    </w:p>
    <w:p>
      <w:pPr>
        <w:pStyle w:val="Normal"/>
        <w:spacing w:lineRule="auto" w:line="360"/>
        <w:ind w:start="4320" w:end="0"/>
        <w:rPr/>
      </w:pPr>
      <w:r>
        <w:rPr/>
      </w:r>
    </w:p>
    <w:p>
      <w:pPr>
        <w:pStyle w:val="Normal"/>
        <w:spacing w:lineRule="auto" w:line="360"/>
        <w:ind w:start="4320" w:end="0"/>
        <w:rPr/>
      </w:pPr>
      <w:r>
        <w:rPr/>
      </w:r>
    </w:p>
    <w:p>
      <w:pPr>
        <w:pStyle w:val="Normal"/>
        <w:jc w:val="center"/>
        <w:rPr>
          <w:b/>
          <w:u w:val="single"/>
        </w:rPr>
      </w:pPr>
      <w:r>
        <w:rPr>
          <w:b/>
          <w:u w:val="single"/>
        </w:rPr>
        <w:t>CERTIFICATE OF SERVICE</w:t>
      </w:r>
    </w:p>
    <w:p>
      <w:pPr>
        <w:pStyle w:val="Normal"/>
        <w:widowControl w:val="false"/>
        <w:rPr>
          <w:b/>
          <w:u w:val="single"/>
        </w:rPr>
      </w:pPr>
      <w:r>
        <w:rPr>
          <w:b/>
          <w:u w:val="single"/>
        </w:rPr>
      </w:r>
    </w:p>
    <w:p>
      <w:pPr>
        <w:pStyle w:val="Normal"/>
        <w:widowControl w:val="false"/>
        <w:rPr/>
      </w:pPr>
      <w:r>
        <w:rPr/>
        <w:tab/>
        <w:t>I, Melissa E. Ramirez attorney, certify that a copy of this document was served on all parties of record in this proceeding on this 26th day of January, 2001, in the following manner:  hand-delivered or sent by electronic mail.</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uppressAutoHyphens w:val="true"/>
        <w:ind w:start="4320" w:end="0"/>
        <w:rPr>
          <w:spacing w:val="-3"/>
        </w:rPr>
      </w:pPr>
      <w:r>
        <w:rPr>
          <w:spacing w:val="-3"/>
        </w:rPr>
        <w:t>____________________________________</w:t>
      </w:r>
    </w:p>
    <w:p>
      <w:pPr>
        <w:pStyle w:val="Normal"/>
        <w:widowControl w:val="false"/>
        <w:suppressAutoHyphens w:val="true"/>
        <w:ind w:start="4320" w:end="0"/>
        <w:rPr>
          <w:spacing w:val="-3"/>
        </w:rPr>
      </w:pPr>
      <w:r>
        <w:rPr>
          <w:spacing w:val="-3"/>
        </w:rPr>
        <w:t>MELISSA E. RAMIREZ</w:t>
      </w:r>
    </w:p>
    <w:p>
      <w:pPr>
        <w:pStyle w:val="Normal"/>
        <w:widowControl w:val="false"/>
        <w:rPr>
          <w:spacing w:val="-3"/>
        </w:rPr>
      </w:pPr>
      <w:r>
        <w:rPr>
          <w:spacing w:val="-3"/>
        </w:rPr>
      </w:r>
    </w:p>
    <w:sectPr>
      <w:footerReference w:type="default" r:id="rId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sz w:val="20"/>
      </w:rPr>
      <w:t>9999\44-31\23220\pld010125</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907" w:end="0"/>
        <w:rPr/>
      </w:pPr>
      <w:r>
        <w:rPr>
          <w:rStyle w:val="FootnoteCharacters"/>
        </w:rPr>
        <w:footnoteRef/>
      </w:r>
      <w:r>
        <w:rPr/>
        <w:t xml:space="preserve"> </w:t>
      </w:r>
      <w:r>
        <w:rPr/>
        <w:tab/>
        <w:t>All references to PURA are to the Public Utility Regulatory Act. Tex. Util. Code Ann. §§ 11.001-64.148 (Vernon 1998 &amp; Supp. 2000) (PURA).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rFonts w:ascii="Palatino Linotype" w:hAnsi="Palatino Linotype" w:cs="Palatino Linotyp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Docketnumber">
    <w:name w:val="Docket number"/>
    <w:basedOn w:val="Normal"/>
    <w:qFormat/>
    <w:pPr>
      <w:jc w:val="center"/>
    </w:pPr>
    <w:rPr>
      <w:b/>
      <w:caps/>
      <w:sz w:val="28"/>
    </w:rPr>
  </w:style>
  <w:style w:type="paragraph" w:styleId="Docketstyle">
    <w:name w:val="Docket style"/>
    <w:basedOn w:val="Normal"/>
    <w:qFormat/>
    <w:pPr>
      <w:keepNext w:val="true"/>
      <w:tabs>
        <w:tab w:val="clear" w:pos="720"/>
        <w:tab w:val="center" w:pos="4770" w:leader="none"/>
        <w:tab w:val="left" w:pos="5400" w:leader="none"/>
      </w:tabs>
      <w:spacing w:lineRule="auto" w:line="288"/>
    </w:pPr>
    <w:rPr>
      <w:b/>
      <w:caps/>
    </w:rPr>
  </w:style>
  <w:style w:type="paragraph" w:styleId="Documentheading">
    <w:name w:val="Document heading"/>
    <w:basedOn w:val="Normal"/>
    <w:qFormat/>
    <w:pPr>
      <w:keepNext w:val="true"/>
      <w:jc w:val="center"/>
    </w:pPr>
    <w:rPr>
      <w:b/>
      <w:caps/>
      <w:sz w:val="28"/>
    </w:rPr>
  </w:style>
  <w:style w:type="paragraph" w:styleId="FootnoteText">
    <w:name w:val="footnote text"/>
    <w:basedOn w:val="Normal"/>
    <w:pPr>
      <w:spacing w:before="0" w:after="120"/>
      <w:ind w:hanging="360" w:start="907" w:end="0"/>
    </w:pPr>
    <w:rPr>
      <w:sz w:val="20"/>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2001-01-25T21:04:00Z</dcterms:created>
  <dc:creator>MER</dc:creator>
  <dc:description/>
  <dc:language>en-CA</dc:language>
  <cp:lastModifiedBy>JMC</cp:lastModifiedBy>
  <cp:lastPrinted>2001-01-26T11:31:00Z</cp:lastPrinted>
  <dcterms:modified xsi:type="dcterms:W3CDTF">2001-01-26T15:01:00Z</dcterms:modified>
  <cp:revision>9</cp:revision>
  <dc:subject/>
  <dc:title>DRAFT FOR REVIEW ONLY</dc:title>
</cp:coreProperties>
</file>