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sz w:val="26"/>
        </w:rPr>
      </w:pPr>
      <w:r>
        <w:rPr>
          <w:sz w:val="26"/>
        </w:rPr>
        <w:tab/>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tabs>
          <w:tab w:val="clear" w:pos="720"/>
          <w:tab w:val="left" w:pos="-1440" w:leader="none"/>
        </w:tabs>
        <w:ind w:hanging="5760" w:start="5760" w:end="0"/>
        <w:rPr>
          <w:sz w:val="26"/>
        </w:rPr>
      </w:pPr>
      <w:r>
        <w:rPr>
          <w:sz w:val="26"/>
        </w:rPr>
        <w:t>California Natural Gas Transportation</w:t>
        <w:tab/>
        <w:tab/>
        <w:tab/>
        <w:t>Docket No. PL01-4-000</w:t>
      </w:r>
    </w:p>
    <w:p>
      <w:pPr>
        <w:pStyle w:val="Normal"/>
        <w:widowControl/>
        <w:tabs>
          <w:tab w:val="clear" w:pos="720"/>
          <w:tab w:val="left" w:pos="-1440" w:leader="none"/>
        </w:tabs>
        <w:ind w:hanging="4320" w:start="4320" w:end="0"/>
        <w:rPr>
          <w:sz w:val="26"/>
        </w:rPr>
      </w:pPr>
      <w:r>
        <w:rPr>
          <w:sz w:val="26"/>
        </w:rPr>
        <w:t xml:space="preserve"> </w:t>
      </w:r>
      <w:r>
        <w:rPr>
          <w:sz w:val="26"/>
        </w:rPr>
        <w:t>Infrastructure</w:t>
        <w:tab/>
        <w:tab/>
        <w:tab/>
        <w:tab/>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680" w:leader="none"/>
        </w:tabs>
        <w:rPr>
          <w:sz w:val="26"/>
        </w:rPr>
      </w:pPr>
      <w:r>
        <w:rPr>
          <w:sz w:val="26"/>
        </w:rPr>
        <w:tab/>
        <w:t>NOTICE ORGANIZING STAFF TECHNICAL CONFERENCE</w:t>
      </w:r>
    </w:p>
    <w:p>
      <w:pPr>
        <w:pStyle w:val="Normal"/>
        <w:widowControl/>
        <w:rPr>
          <w:sz w:val="26"/>
        </w:rPr>
      </w:pPr>
      <w:r>
        <w:rPr>
          <w:sz w:val="26"/>
        </w:rPr>
      </w:r>
    </w:p>
    <w:p>
      <w:pPr>
        <w:pStyle w:val="Normal"/>
        <w:widowControl/>
        <w:tabs>
          <w:tab w:val="clear" w:pos="720"/>
          <w:tab w:val="center" w:pos="4680" w:leader="none"/>
        </w:tabs>
        <w:rPr>
          <w:sz w:val="26"/>
        </w:rPr>
      </w:pPr>
      <w:r>
        <w:rPr>
          <w:sz w:val="26"/>
        </w:rPr>
        <w:tab/>
        <w:t>(May 22, 2001)</w:t>
      </w:r>
    </w:p>
    <w:p>
      <w:pPr>
        <w:pStyle w:val="Normal"/>
        <w:widowControl/>
        <w:rPr>
          <w:sz w:val="26"/>
        </w:rPr>
      </w:pPr>
      <w:r>
        <w:rPr>
          <w:sz w:val="26"/>
        </w:rPr>
      </w:r>
    </w:p>
    <w:p>
      <w:pPr>
        <w:pStyle w:val="Normal"/>
        <w:widowControl/>
        <w:rPr>
          <w:sz w:val="26"/>
        </w:rPr>
      </w:pPr>
      <w:r>
        <w:rPr>
          <w:sz w:val="26"/>
        </w:rPr>
      </w:r>
    </w:p>
    <w:p>
      <w:pPr>
        <w:pStyle w:val="Normal"/>
        <w:widowControl/>
        <w:ind w:firstLine="720" w:end="0"/>
        <w:rPr>
          <w:sz w:val="26"/>
        </w:rPr>
      </w:pPr>
      <w:r>
        <w:rPr>
          <w:sz w:val="26"/>
        </w:rPr>
        <w:t>This notice provides the organizational format for the May 24, 2001 Federal Energy Regulatory Commission staff conference to discuss issues regarding the natural gas transportation infrastructure with respect to California.  The conference will begin at 10:00 a.m., at the Commission's offices, 888 First Street, NE, Washington, D.C. 20426.  All interested persons are invited to attend.</w:t>
      </w:r>
    </w:p>
    <w:p>
      <w:pPr>
        <w:pStyle w:val="Normal"/>
        <w:widowControl/>
        <w:rPr>
          <w:sz w:val="26"/>
        </w:rPr>
      </w:pPr>
      <w:r>
        <w:rPr>
          <w:sz w:val="26"/>
        </w:rPr>
      </w:r>
    </w:p>
    <w:p>
      <w:pPr>
        <w:pStyle w:val="Normal"/>
        <w:widowControl/>
        <w:ind w:firstLine="720" w:end="0"/>
        <w:rPr/>
      </w:pPr>
      <w:r>
        <w:rPr>
          <w:sz w:val="26"/>
        </w:rPr>
        <w:t>The May 3, 2001 Notice of Conference</w:t>
      </w:r>
      <w:r>
        <w:rPr>
          <w:rStyle w:val="FootnoteCharacters"/>
          <w:rStyle w:val="FootnoteReference"/>
          <w:b/>
          <w:sz w:val="31"/>
          <w:vertAlign w:val="superscript"/>
        </w:rPr>
        <w:footnoteReference w:id="2"/>
      </w:r>
      <w:r>
        <w:rPr>
          <w:sz w:val="26"/>
        </w:rPr>
        <w:t xml:space="preserve"> requested those interested in making presentations or participating in the discussions to indicate their interest by May 14, 2001.  Twenty-four requests to make presentations or participate in discussions were received.  Due to the high level of interest in participating in the conference, Commission staff has had to establish stringent time lines for panel presentations, and will make every effort to adhere to the following schedule. </w:t>
      </w:r>
    </w:p>
    <w:p>
      <w:pPr>
        <w:pStyle w:val="Normal"/>
        <w:widowControl/>
        <w:rPr>
          <w:sz w:val="26"/>
        </w:rPr>
      </w:pPr>
      <w:r>
        <w:rPr>
          <w:sz w:val="26"/>
        </w:rPr>
      </w:r>
    </w:p>
    <w:p>
      <w:pPr>
        <w:pStyle w:val="Normal"/>
        <w:widowControl/>
        <w:ind w:firstLine="720" w:end="0"/>
        <w:rPr>
          <w:sz w:val="26"/>
        </w:rPr>
      </w:pPr>
      <w:r>
        <w:rPr>
          <w:sz w:val="26"/>
        </w:rPr>
        <w:t xml:space="preserve">The conference will be organized in the following format. </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I.</w:t>
        <w:tab/>
        <w:t>Staff Introductions</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II.</w:t>
        <w:tab/>
        <w:t>State Regulators</w:t>
      </w:r>
    </w:p>
    <w:p>
      <w:pPr>
        <w:pStyle w:val="Normal"/>
        <w:widowControl/>
        <w:rPr>
          <w:sz w:val="26"/>
        </w:rPr>
      </w:pPr>
      <w:r>
        <w:rPr>
          <w:sz w:val="26"/>
        </w:rPr>
      </w:r>
    </w:p>
    <w:p>
      <w:pPr>
        <w:pStyle w:val="Normal"/>
        <w:widowControl/>
        <w:ind w:firstLine="720" w:end="0"/>
        <w:rPr>
          <w:sz w:val="26"/>
        </w:rPr>
      </w:pPr>
      <w:r>
        <w:rPr>
          <w:sz w:val="26"/>
        </w:rPr>
        <w:t>Presentations:  Bill Wood, California Energy Commission (10 minutes)</w:t>
      </w:r>
    </w:p>
    <w:p>
      <w:pPr>
        <w:pStyle w:val="Normal"/>
        <w:widowControl/>
        <w:ind w:start="2160" w:end="0"/>
        <w:rPr>
          <w:sz w:val="26"/>
        </w:rPr>
      </w:pPr>
      <w:r>
        <w:rPr>
          <w:sz w:val="26"/>
        </w:rPr>
        <w:t xml:space="preserve">  </w:t>
      </w:r>
      <w:r>
        <w:rPr>
          <w:sz w:val="26"/>
        </w:rPr>
        <w:t>Julie Halligan, Public Utilities Commission of the State of               California (5 minutes)</w:t>
      </w:r>
    </w:p>
    <w:p>
      <w:pPr>
        <w:pStyle w:val="Normal"/>
        <w:widowControl/>
        <w:ind w:firstLine="1440" w:end="0"/>
        <w:rPr>
          <w:sz w:val="26"/>
        </w:rPr>
      </w:pPr>
      <w:r>
        <w:rPr>
          <w:sz w:val="26"/>
        </w:rPr>
      </w:r>
    </w:p>
    <w:p>
      <w:pPr>
        <w:pStyle w:val="Normal"/>
        <w:widowControl/>
        <w:tabs>
          <w:tab w:val="clear" w:pos="720"/>
          <w:tab w:val="left" w:pos="-1440" w:leader="none"/>
        </w:tabs>
        <w:ind w:hanging="720" w:start="720" w:end="0"/>
        <w:rPr>
          <w:sz w:val="26"/>
        </w:rPr>
      </w:pPr>
      <w:r>
        <w:rPr>
          <w:sz w:val="26"/>
        </w:rPr>
        <w:t>III.</w:t>
        <w:tab/>
        <w:t>California Pipelines</w:t>
      </w:r>
    </w:p>
    <w:p>
      <w:pPr>
        <w:pStyle w:val="Normal"/>
        <w:widowControl/>
        <w:rPr>
          <w:sz w:val="26"/>
        </w:rPr>
      </w:pPr>
      <w:r>
        <w:rPr>
          <w:sz w:val="26"/>
        </w:rPr>
      </w:r>
    </w:p>
    <w:p>
      <w:pPr>
        <w:pStyle w:val="Normal"/>
        <w:widowControl/>
        <w:ind w:firstLine="720" w:end="0"/>
        <w:rPr>
          <w:sz w:val="26"/>
        </w:rPr>
      </w:pPr>
      <w:r>
        <w:rPr>
          <w:sz w:val="26"/>
        </w:rPr>
        <w:t>Presentations:  Lad Lorenz, Southern California Gas Company (30 minutes)</w:t>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Style w:val="Normal"/>
        <w:widowControl/>
        <w:ind w:firstLine="2160" w:end="0"/>
        <w:rPr>
          <w:sz w:val="26"/>
        </w:rPr>
      </w:pPr>
      <w:r>
        <w:rPr>
          <w:sz w:val="26"/>
        </w:rPr>
        <w:t xml:space="preserve">  </w:t>
      </w:r>
      <w:r>
        <w:rPr>
          <w:sz w:val="26"/>
        </w:rPr>
        <w:t>Dan Thomas, Pacific Gas &amp; Electric Company (30 minutes)</w:t>
      </w:r>
    </w:p>
    <w:p>
      <w:pPr>
        <w:pStyle w:val="Normal"/>
        <w:widowControl/>
        <w:tabs>
          <w:tab w:val="clear" w:pos="720"/>
          <w:tab w:val="left" w:pos="-1440" w:leader="none"/>
        </w:tabs>
        <w:ind w:hanging="720" w:start="720" w:end="0"/>
        <w:rPr>
          <w:sz w:val="26"/>
        </w:rPr>
      </w:pPr>
      <w:r>
        <w:rPr>
          <w:sz w:val="26"/>
        </w:rPr>
        <w:t>IV.</w:t>
        <w:tab/>
        <w:t>Interstate Pipelines</w:t>
      </w:r>
    </w:p>
    <w:p>
      <w:pPr>
        <w:pStyle w:val="Normal"/>
        <w:widowControl/>
        <w:rPr>
          <w:sz w:val="26"/>
        </w:rPr>
      </w:pPr>
      <w:r>
        <w:rPr>
          <w:sz w:val="26"/>
        </w:rPr>
      </w:r>
    </w:p>
    <w:p>
      <w:pPr>
        <w:pStyle w:val="Normal"/>
        <w:widowControl/>
        <w:ind w:firstLine="720" w:end="0"/>
        <w:rPr>
          <w:sz w:val="26"/>
        </w:rPr>
      </w:pPr>
      <w:r>
        <w:rPr>
          <w:sz w:val="26"/>
        </w:rPr>
        <w:t>Presentations:  Kirk Morgan, Kern River Gas Transmission Company</w:t>
      </w:r>
    </w:p>
    <w:p>
      <w:pPr>
        <w:pStyle w:val="Normal"/>
        <w:widowControl/>
        <w:ind w:firstLine="2160" w:end="0"/>
        <w:rPr>
          <w:sz w:val="26"/>
        </w:rPr>
      </w:pPr>
      <w:r>
        <w:rPr>
          <w:sz w:val="26"/>
        </w:rPr>
        <w:t xml:space="preserve">   </w:t>
      </w:r>
      <w:r>
        <w:rPr>
          <w:sz w:val="26"/>
        </w:rPr>
        <w:t>(10 minutes)</w:t>
      </w:r>
    </w:p>
    <w:p>
      <w:pPr>
        <w:pStyle w:val="Normal"/>
        <w:widowControl/>
        <w:ind w:firstLine="2160" w:end="0"/>
        <w:rPr>
          <w:sz w:val="26"/>
        </w:rPr>
      </w:pPr>
      <w:r>
        <w:rPr>
          <w:sz w:val="26"/>
        </w:rPr>
        <w:t xml:space="preserve">  </w:t>
      </w:r>
      <w:r>
        <w:rPr>
          <w:sz w:val="26"/>
        </w:rPr>
        <w:t>Steve Harris, Transwestern Pipeline Company (10 minutes)</w:t>
      </w:r>
    </w:p>
    <w:p>
      <w:pPr>
        <w:pStyle w:val="Normal"/>
        <w:widowControl/>
        <w:ind w:firstLine="2160" w:end="0"/>
        <w:rPr>
          <w:sz w:val="26"/>
        </w:rPr>
      </w:pPr>
      <w:r>
        <w:rPr>
          <w:sz w:val="26"/>
        </w:rPr>
        <w:t xml:space="preserve">  </w:t>
      </w:r>
      <w:r>
        <w:rPr>
          <w:sz w:val="26"/>
        </w:rPr>
        <w:t>TBA, El Paso Corporation (10 minutes)</w:t>
      </w:r>
    </w:p>
    <w:p>
      <w:pPr>
        <w:pStyle w:val="Normal"/>
        <w:widowControl/>
        <w:ind w:hanging="720" w:start="2880" w:end="0"/>
        <w:rPr>
          <w:sz w:val="26"/>
        </w:rPr>
      </w:pPr>
      <w:r>
        <w:rPr>
          <w:sz w:val="26"/>
        </w:rPr>
        <w:t xml:space="preserve">  </w:t>
      </w:r>
      <w:r>
        <w:rPr>
          <w:sz w:val="26"/>
        </w:rPr>
        <w:t>Jim McElligott, Kinder Morgan Energy Partners, L.P. and Calpine</w:t>
      </w:r>
    </w:p>
    <w:p>
      <w:pPr>
        <w:pStyle w:val="Normal"/>
        <w:widowControl/>
        <w:ind w:firstLine="2160" w:end="0"/>
        <w:rPr>
          <w:sz w:val="26"/>
        </w:rPr>
      </w:pPr>
      <w:r>
        <w:rPr>
          <w:sz w:val="26"/>
        </w:rPr>
        <w:t xml:space="preserve">   </w:t>
      </w:r>
      <w:r>
        <w:rPr>
          <w:sz w:val="26"/>
        </w:rPr>
        <w:t>Corporation (10 minutes)</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V.</w:t>
        <w:tab/>
        <w:t>Marketers, Producers, End-Users, Financiers, and Others</w:t>
      </w:r>
    </w:p>
    <w:p>
      <w:pPr>
        <w:pStyle w:val="Normal"/>
        <w:widowControl/>
        <w:rPr>
          <w:sz w:val="26"/>
        </w:rPr>
      </w:pPr>
      <w:r>
        <w:rPr>
          <w:sz w:val="26"/>
        </w:rPr>
      </w:r>
    </w:p>
    <w:p>
      <w:pPr>
        <w:pStyle w:val="Normal"/>
        <w:widowControl/>
        <w:ind w:firstLine="720" w:end="0"/>
        <w:rPr>
          <w:sz w:val="26"/>
        </w:rPr>
      </w:pPr>
      <w:r>
        <w:rPr>
          <w:sz w:val="26"/>
        </w:rPr>
        <w:t xml:space="preserve">Presentations:  Steve Kean, Enron Corp. (5 min) </w:t>
      </w:r>
    </w:p>
    <w:p>
      <w:pPr>
        <w:pStyle w:val="Normal"/>
        <w:widowControl/>
        <w:ind w:firstLine="2160" w:end="0"/>
        <w:rPr>
          <w:sz w:val="26"/>
        </w:rPr>
      </w:pPr>
      <w:r>
        <w:rPr>
          <w:sz w:val="26"/>
        </w:rPr>
        <w:t xml:space="preserve">  </w:t>
      </w:r>
      <w:r>
        <w:rPr>
          <w:sz w:val="26"/>
        </w:rPr>
        <w:t>Curt Launer, Credit Suisse First Boston (5 minutes)</w:t>
      </w:r>
    </w:p>
    <w:p>
      <w:pPr>
        <w:pStyle w:val="Normal"/>
        <w:widowControl/>
        <w:ind w:firstLine="2160" w:end="0"/>
        <w:rPr>
          <w:sz w:val="26"/>
        </w:rPr>
      </w:pPr>
      <w:r>
        <w:rPr>
          <w:sz w:val="26"/>
        </w:rPr>
        <w:t xml:space="preserve">  </w:t>
      </w:r>
      <w:r>
        <w:rPr>
          <w:sz w:val="26"/>
        </w:rPr>
        <w:t>Donato Eassey, Merrill Lynch (5 minutes)</w:t>
      </w:r>
    </w:p>
    <w:p>
      <w:pPr>
        <w:pStyle w:val="Normal"/>
        <w:widowControl/>
        <w:ind w:firstLine="2160" w:end="0"/>
        <w:rPr>
          <w:sz w:val="26"/>
        </w:rPr>
      </w:pPr>
      <w:r>
        <w:rPr>
          <w:sz w:val="26"/>
        </w:rPr>
        <w:t xml:space="preserve">  </w:t>
      </w:r>
      <w:r>
        <w:rPr>
          <w:sz w:val="26"/>
        </w:rPr>
        <w:t>Brennan Higgins, Summit Energy (5 minutes)</w:t>
        <w:tab/>
      </w:r>
    </w:p>
    <w:p>
      <w:pPr>
        <w:pStyle w:val="Normal"/>
        <w:widowControl/>
        <w:ind w:firstLine="2160" w:end="0"/>
        <w:rPr>
          <w:sz w:val="26"/>
        </w:rPr>
      </w:pPr>
      <w:r>
        <w:rPr>
          <w:sz w:val="26"/>
        </w:rPr>
        <w:t xml:space="preserve">  </w:t>
      </w:r>
      <w:r>
        <w:rPr>
          <w:sz w:val="26"/>
        </w:rPr>
        <w:t xml:space="preserve">Michael Soland, Occidental Energy Marketing, Inc. (5 minutes) </w:t>
      </w:r>
    </w:p>
    <w:p>
      <w:pPr>
        <w:pStyle w:val="Normal"/>
        <w:widowControl/>
        <w:ind w:firstLine="2160" w:end="0"/>
        <w:rPr>
          <w:sz w:val="26"/>
        </w:rPr>
      </w:pPr>
      <w:r>
        <w:rPr>
          <w:sz w:val="26"/>
        </w:rPr>
        <w:t xml:space="preserve">  </w:t>
      </w:r>
      <w:r>
        <w:rPr>
          <w:sz w:val="26"/>
        </w:rPr>
        <w:t>Penny Barry, Katherine Edwards,  BP Energy (5 minutes)</w:t>
      </w:r>
    </w:p>
    <w:p>
      <w:pPr>
        <w:pStyle w:val="Normal"/>
        <w:widowControl/>
        <w:ind w:firstLine="2160" w:end="0"/>
        <w:rPr>
          <w:sz w:val="26"/>
        </w:rPr>
      </w:pPr>
      <w:r>
        <w:rPr>
          <w:sz w:val="26"/>
        </w:rPr>
        <w:t xml:space="preserve">  </w:t>
      </w:r>
      <w:r>
        <w:rPr>
          <w:sz w:val="26"/>
        </w:rPr>
        <w:t>Peter Lund, PG&amp;E National Energy Group (5 minutes)</w:t>
      </w:r>
    </w:p>
    <w:p>
      <w:pPr>
        <w:pStyle w:val="Normal"/>
        <w:widowControl/>
        <w:ind w:firstLine="2160" w:end="0"/>
        <w:rPr>
          <w:sz w:val="26"/>
        </w:rPr>
      </w:pPr>
      <w:r>
        <w:rPr>
          <w:sz w:val="26"/>
        </w:rPr>
        <w:t xml:space="preserve">  </w:t>
      </w:r>
      <w:r>
        <w:rPr>
          <w:sz w:val="26"/>
        </w:rPr>
        <w:t>Norman Pederson, Southern California Generation Coalition</w:t>
      </w:r>
    </w:p>
    <w:p>
      <w:pPr>
        <w:pStyle w:val="Normal"/>
        <w:widowControl/>
        <w:ind w:firstLine="2160" w:end="0"/>
        <w:rPr>
          <w:sz w:val="26"/>
        </w:rPr>
      </w:pPr>
      <w:r>
        <w:rPr>
          <w:sz w:val="26"/>
        </w:rPr>
        <w:t xml:space="preserve">   </w:t>
      </w:r>
      <w:r>
        <w:rPr>
          <w:sz w:val="26"/>
        </w:rPr>
        <w:t>(5 minutes)</w:t>
      </w:r>
    </w:p>
    <w:p>
      <w:pPr>
        <w:pStyle w:val="Normal"/>
        <w:widowControl/>
        <w:ind w:firstLine="2160" w:end="0"/>
        <w:rPr>
          <w:sz w:val="26"/>
        </w:rPr>
      </w:pPr>
      <w:r>
        <w:rPr>
          <w:sz w:val="26"/>
        </w:rPr>
        <w:t xml:space="preserve">  </w:t>
      </w:r>
      <w:r>
        <w:rPr>
          <w:sz w:val="26"/>
        </w:rPr>
        <w:t>Paul Amirault, Wild Goose Storage, Inc. (5 minutes)</w:t>
      </w:r>
    </w:p>
    <w:p>
      <w:pPr>
        <w:pStyle w:val="Normal"/>
        <w:widowControl/>
        <w:ind w:firstLine="2160" w:end="0"/>
        <w:rPr>
          <w:sz w:val="26"/>
        </w:rPr>
      </w:pPr>
      <w:r>
        <w:rPr>
          <w:sz w:val="26"/>
        </w:rPr>
        <w:t xml:space="preserve">  </w:t>
      </w:r>
      <w:r>
        <w:rPr>
          <w:sz w:val="26"/>
        </w:rPr>
        <w:t>Rocco Canonica, Intelligence Press, Inc. (5 minutes)</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VI.</w:t>
        <w:tab/>
        <w:t>Open Discussion</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 xml:space="preserve">VII. </w:t>
        <w:tab/>
        <w:t>Adjournment</w:t>
      </w:r>
    </w:p>
    <w:p>
      <w:pPr>
        <w:pStyle w:val="Normal"/>
        <w:widowControl/>
        <w:rPr>
          <w:sz w:val="26"/>
        </w:rPr>
      </w:pPr>
      <w:r>
        <w:rPr>
          <w:sz w:val="26"/>
        </w:rPr>
      </w:r>
    </w:p>
    <w:p>
      <w:pPr>
        <w:pStyle w:val="Normal"/>
        <w:widowControl/>
        <w:ind w:firstLine="720" w:end="0"/>
        <w:rPr>
          <w:sz w:val="26"/>
        </w:rPr>
      </w:pPr>
      <w:r>
        <w:rPr>
          <w:sz w:val="26"/>
        </w:rPr>
        <w:t xml:space="preserve">Following each panel, Commission staff will address questions to the presenters.  Time permitting, members of the audience will then be invited to ask questions.  To the extent that there is not time for audience participation during a panel, topics may be raised later during the open discussion portion of the conference.  </w:t>
      </w:r>
    </w:p>
    <w:p>
      <w:pPr>
        <w:pStyle w:val="Normal"/>
        <w:widowControl/>
        <w:rPr>
          <w:sz w:val="26"/>
        </w:rPr>
      </w:pPr>
      <w:r>
        <w:rPr>
          <w:sz w:val="26"/>
        </w:rPr>
      </w:r>
    </w:p>
    <w:p>
      <w:pPr>
        <w:pStyle w:val="Normal"/>
        <w:widowControl/>
        <w:ind w:firstLine="720" w:end="0"/>
        <w:rPr>
          <w:sz w:val="26"/>
        </w:rPr>
      </w:pPr>
      <w:r>
        <w:rPr>
          <w:sz w:val="26"/>
        </w:rPr>
        <w:t>The conference will be transcribed, so those not attending can review the proceedings.  Additional comments on the issues raised by the conference can be filed by June 25, 2001.</w:t>
      </w:r>
    </w:p>
    <w:p>
      <w:pPr>
        <w:pStyle w:val="Normal"/>
        <w:widowControl/>
        <w:rPr>
          <w:sz w:val="26"/>
        </w:rPr>
      </w:pPr>
      <w:r>
        <w:rPr>
          <w:sz w:val="26"/>
        </w:rPr>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ind w:firstLine="720" w:end="0"/>
        <w:rPr>
          <w:sz w:val="26"/>
        </w:rPr>
      </w:pPr>
      <w:r>
        <w:rPr>
          <w:sz w:val="26"/>
        </w:rPr>
        <w:t xml:space="preserve">The Commission has the capability to provide overhead projectors and to display computer-generated slide presentations.  Presenters can bring their presentations on their own laptops, which will be connected to the Commission's display system.  The Commission has the capability to display presentations in MS Powerpoint 2000 and Corel Presentations 8.  In order to facilitate such presentations, presenters are encouraged to provide their files in advance by sending an e-mail, with the slide presentation as an attachment, by May 23, 2001, to John Katz, so that the presentation can be tested on the Commission computer and available at the conference.  If presentations are not available in advance, the presenter should bring the presentation to the conference on a diskette in one of the specified formats.  All presenters should bring with them a hard copy of their presentation, to assist the Commission's technical staff in monitoring the presentations.    </w:t>
      </w:r>
    </w:p>
    <w:p>
      <w:pPr>
        <w:pStyle w:val="Normal"/>
        <w:widowControl/>
        <w:rPr>
          <w:sz w:val="26"/>
        </w:rPr>
      </w:pPr>
      <w:r>
        <w:rPr>
          <w:sz w:val="26"/>
        </w:rPr>
      </w:r>
    </w:p>
    <w:p>
      <w:pPr>
        <w:pStyle w:val="Normal"/>
        <w:widowControl/>
        <w:ind w:firstLine="720" w:end="0"/>
        <w:rPr>
          <w:sz w:val="26"/>
        </w:rPr>
      </w:pPr>
      <w:r>
        <w:rPr>
          <w:sz w:val="26"/>
        </w:rPr>
        <w:t>In addition, all presentations must be officially filed with the Commission by May 23, 2001 according to the instructions given below.  The Commission cannot currently accept Powerpoint or Presentation filed electronically, but the presentations can be filed electronically if they are converted to one of the accepted formats listed below.</w:t>
        <w:tab/>
      </w:r>
    </w:p>
    <w:p>
      <w:pPr>
        <w:pStyle w:val="Normal"/>
        <w:widowControl/>
        <w:rPr>
          <w:sz w:val="26"/>
        </w:rPr>
      </w:pPr>
      <w:r>
        <w:rPr>
          <w:sz w:val="26"/>
        </w:rPr>
      </w:r>
    </w:p>
    <w:p>
      <w:pPr>
        <w:pStyle w:val="Normal"/>
        <w:widowControl/>
        <w:ind w:firstLine="720" w:end="0"/>
        <w:rPr>
          <w:sz w:val="26"/>
        </w:rPr>
      </w:pPr>
      <w:r>
        <w:rPr>
          <w:sz w:val="26"/>
        </w:rPr>
        <w:t>Presentations and after-conference comments may be filed either in paper format or electronically.  Those filing electronically do not need to make a paper filing.  For paper filings, the original and 14 copies should be submitted to the Office of the Secretary, Federal Energy Regulatory Commission, 888 First Street, N.E., Washington, DC 20426, and should refer to Docket No. PL01-4-000.</w:t>
      </w:r>
    </w:p>
    <w:p>
      <w:pPr>
        <w:pStyle w:val="Normal"/>
        <w:widowControl/>
        <w:rPr>
          <w:sz w:val="26"/>
        </w:rPr>
      </w:pPr>
      <w:r>
        <w:rPr>
          <w:sz w:val="26"/>
        </w:rPr>
      </w:r>
    </w:p>
    <w:p>
      <w:pPr>
        <w:pStyle w:val="Normal"/>
        <w:widowControl/>
        <w:ind w:firstLine="720" w:end="0"/>
        <w:rPr/>
      </w:pPr>
      <w:r>
        <w:rPr>
          <w:sz w:val="26"/>
        </w:rPr>
        <w:t xml:space="preserve">Presentations and comments filed via the Internet must be prepared in WordPefect, MS Word, Portable Document Format, or ASCII format.  To file the document, access the Commission's website at </w:t>
      </w:r>
      <w:r>
        <w:rPr>
          <w:rStyle w:val="Hypertext"/>
          <w:sz w:val="26"/>
        </w:rPr>
        <w:t>www.ferc.fed.us</w:t>
      </w:r>
      <w:r>
        <w:rPr>
          <w:sz w:val="26"/>
        </w:rPr>
        <w:t>, click on "Make An E-Filing," and then follow the instructions for each screen.  First time users will have to establish a use name and password.  The Commission will send an automatic acknowledgment to the sender's E-Mail address upon receipt of filings.</w:t>
      </w:r>
    </w:p>
    <w:p>
      <w:pPr>
        <w:pStyle w:val="Normal"/>
        <w:widowControl/>
        <w:rPr>
          <w:sz w:val="26"/>
        </w:rPr>
      </w:pPr>
      <w:r>
        <w:rPr>
          <w:sz w:val="26"/>
        </w:rPr>
      </w:r>
    </w:p>
    <w:p>
      <w:pPr>
        <w:pStyle w:val="Normal"/>
        <w:widowControl/>
        <w:ind w:firstLine="720" w:end="0"/>
        <w:rPr/>
      </w:pPr>
      <w:r>
        <w:rPr>
          <w:sz w:val="26"/>
        </w:rPr>
        <w:t xml:space="preserve">User assistance is available for electronic filing at 202-208-0258, or by E-Mail to </w:t>
      </w:r>
      <w:r>
        <w:rPr>
          <w:rStyle w:val="Hypertext"/>
          <w:sz w:val="26"/>
        </w:rPr>
        <w:t>efiling@ferc.fed.us</w:t>
      </w:r>
      <w:r>
        <w:rPr>
          <w:sz w:val="26"/>
        </w:rPr>
        <w:t>.  Filings should not be submitted to the E-Mail address.  All comments will be placed in the Commission's public files and be available for inspection in the Commission's Public Reference Room at 888 First Street, N.E., Washington, DC 20426, during regular business hours.  Additionally, all filings may be viewed, printed, or downloaded remotely via the Internet through FERC's Homepage using the RIMS link.  User assistance for RIMS is available at 202-20-222, or by E-Mail to rimsmaster@ferc.fed.us.</w:t>
      </w:r>
    </w:p>
    <w:p>
      <w:pPr>
        <w:pStyle w:val="Normal"/>
        <w:widowControl/>
        <w:rPr>
          <w:sz w:val="26"/>
        </w:rPr>
      </w:pPr>
      <w:r>
        <w:rPr>
          <w:sz w:val="26"/>
        </w:rPr>
      </w:r>
    </w:p>
    <w:p>
      <w:pPr>
        <w:pStyle w:val="Normal"/>
        <w:widowControl/>
        <w:ind w:firstLine="720" w:end="0"/>
        <w:rPr/>
      </w:pPr>
      <w:r>
        <w:rPr>
          <w:sz w:val="26"/>
        </w:rPr>
        <w:t>The Capitol Connection offers all Open and special Commission meetings live over the Internet, as well as via telephone and satellite.  For a fee, you can receive these meetings in your office, at home, or anywhere in the world.  To find out more about The Capitol Connection's live Internet, phone bridge, or satellite coverage, contact David Reininger or Julia Morelli at (703) 993-3100, or visit the website (</w:t>
      </w:r>
      <w:r>
        <w:rPr>
          <w:rStyle w:val="Hypertext"/>
          <w:sz w:val="26"/>
        </w:rPr>
        <w:t>www.capitolconnection.gmu.edu).</w:t>
      </w:r>
      <w:r>
        <w:rPr>
          <w:sz w:val="26"/>
        </w:rPr>
        <w:t xml:space="preserve">  The Capitol Connection also offers FERC Open Meetings through its Washington, DC area television service.</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pPr>
      <w:r>
        <w:rPr>
          <w:sz w:val="26"/>
        </w:rPr>
        <w:t xml:space="preserve">Additionally, live and archived audio of FERC public meetings are available for a fee via National Narrowcast Network's Hearings.com(sm) and Hearing-On-Line(r) services.  Live audio is available by telephone and on the WEB at </w:t>
      </w:r>
      <w:r>
        <w:rPr>
          <w:rStyle w:val="Hypertext"/>
          <w:sz w:val="26"/>
        </w:rPr>
        <w:t>www.Hearings.com</w:t>
      </w:r>
      <w:r>
        <w:rPr>
          <w:sz w:val="26"/>
        </w:rPr>
        <w:t>.  The Web audio will be archived and available for listening on demand after the event is completed.   Billing is based on listening time.  Call (202) 966-2211 for further details.</w:t>
      </w:r>
    </w:p>
    <w:p>
      <w:pPr>
        <w:pStyle w:val="Normal"/>
        <w:widowControl/>
        <w:rPr>
          <w:sz w:val="26"/>
        </w:rPr>
      </w:pPr>
      <w:r>
        <w:rPr>
          <w:sz w:val="26"/>
        </w:rPr>
      </w:r>
    </w:p>
    <w:p>
      <w:pPr>
        <w:pStyle w:val="Normal"/>
        <w:widowControl/>
        <w:ind w:firstLine="720" w:end="0"/>
        <w:rPr>
          <w:sz w:val="26"/>
        </w:rPr>
      </w:pPr>
      <w:r>
        <w:rPr>
          <w:sz w:val="26"/>
        </w:rPr>
        <w:t>Those interested in obtaining transcripts of the conference need to contact Ace Federal Reporters, at (202) 347-3700.  Anyone interested in purchasing videotapes of the meeting should call VISCOM at (703) 715-7999.</w:t>
      </w:r>
    </w:p>
    <w:p>
      <w:pPr>
        <w:pStyle w:val="Normal"/>
        <w:widowControl/>
        <w:rPr>
          <w:sz w:val="26"/>
        </w:rPr>
      </w:pPr>
      <w:r>
        <w:rPr>
          <w:sz w:val="26"/>
        </w:rPr>
      </w:r>
    </w:p>
    <w:p>
      <w:pPr>
        <w:pStyle w:val="Normal"/>
        <w:widowControl/>
        <w:ind w:firstLine="720" w:end="0"/>
        <w:rPr>
          <w:sz w:val="26"/>
        </w:rPr>
      </w:pPr>
      <w:r>
        <w:rPr>
          <w:sz w:val="26"/>
        </w:rPr>
        <w:t>Questions about the conference should be directed to:</w:t>
      </w:r>
    </w:p>
    <w:p>
      <w:pPr>
        <w:pStyle w:val="Normal"/>
        <w:widowControl/>
        <w:rPr>
          <w:sz w:val="26"/>
        </w:rPr>
      </w:pPr>
      <w:r>
        <w:rPr>
          <w:sz w:val="26"/>
        </w:rPr>
      </w:r>
    </w:p>
    <w:p>
      <w:pPr>
        <w:pStyle w:val="Normal"/>
        <w:widowControl/>
        <w:ind w:firstLine="1440" w:end="0"/>
        <w:rPr>
          <w:sz w:val="26"/>
        </w:rPr>
      </w:pPr>
      <w:r>
        <w:rPr>
          <w:sz w:val="26"/>
        </w:rPr>
        <w:t>John Katz</w:t>
      </w:r>
    </w:p>
    <w:p>
      <w:pPr>
        <w:pStyle w:val="Normal"/>
        <w:widowControl/>
        <w:ind w:firstLine="1440" w:end="0"/>
        <w:rPr>
          <w:sz w:val="26"/>
        </w:rPr>
      </w:pPr>
      <w:r>
        <w:rPr>
          <w:sz w:val="26"/>
        </w:rPr>
        <w:t>Office of the General Counsel</w:t>
      </w:r>
    </w:p>
    <w:p>
      <w:pPr>
        <w:pStyle w:val="Normal"/>
        <w:widowControl/>
        <w:ind w:firstLine="1440" w:end="0"/>
        <w:rPr>
          <w:sz w:val="26"/>
        </w:rPr>
      </w:pPr>
      <w:r>
        <w:rPr>
          <w:sz w:val="26"/>
        </w:rPr>
        <w:t>Federal Energy Regulatory Commission</w:t>
      </w:r>
    </w:p>
    <w:p>
      <w:pPr>
        <w:pStyle w:val="Normal"/>
        <w:widowControl/>
        <w:ind w:firstLine="1440" w:end="0"/>
        <w:rPr>
          <w:sz w:val="26"/>
        </w:rPr>
      </w:pPr>
      <w:r>
        <w:rPr>
          <w:sz w:val="26"/>
        </w:rPr>
        <w:t>888 First Street, NE</w:t>
      </w:r>
    </w:p>
    <w:p>
      <w:pPr>
        <w:pStyle w:val="Normal"/>
        <w:widowControl/>
        <w:ind w:firstLine="1440" w:end="0"/>
        <w:rPr>
          <w:sz w:val="26"/>
        </w:rPr>
      </w:pPr>
      <w:r>
        <w:rPr>
          <w:sz w:val="26"/>
        </w:rPr>
        <w:t>Washington, DC 20426</w:t>
      </w:r>
    </w:p>
    <w:p>
      <w:pPr>
        <w:pStyle w:val="Normal"/>
        <w:widowControl/>
        <w:ind w:firstLine="1440" w:end="0"/>
        <w:rPr>
          <w:sz w:val="26"/>
        </w:rPr>
      </w:pPr>
      <w:r>
        <w:rPr>
          <w:sz w:val="26"/>
        </w:rPr>
        <w:t>(202) 208-1077</w:t>
      </w:r>
    </w:p>
    <w:p>
      <w:pPr>
        <w:pStyle w:val="Normal"/>
        <w:widowControl/>
        <w:ind w:firstLine="1440" w:end="0"/>
        <w:rPr>
          <w:sz w:val="26"/>
        </w:rPr>
      </w:pPr>
      <w:r>
        <w:rPr>
          <w:sz w:val="26"/>
        </w:rPr>
        <w:t>john.katz@ferc.fed.us</w:t>
        <w:tab/>
        <w:t xml:space="preserve"> </w:t>
      </w:r>
    </w:p>
    <w:p>
      <w:pPr>
        <w:pStyle w:val="Normal"/>
        <w:widowControl/>
        <w:rPr>
          <w:sz w:val="26"/>
        </w:rPr>
      </w:pPr>
      <w:r>
        <w:rPr>
          <w:sz w:val="26"/>
        </w:rPr>
      </w:r>
    </w:p>
    <w:p>
      <w:pPr>
        <w:pStyle w:val="Normal"/>
        <w:widowControl/>
        <w:rPr>
          <w:sz w:val="26"/>
        </w:rPr>
      </w:pPr>
      <w:r>
        <w:rPr>
          <w:sz w:val="26"/>
        </w:rPr>
      </w:r>
    </w:p>
    <w:p>
      <w:pPr>
        <w:pStyle w:val="Normal"/>
        <w:widowControl/>
        <w:ind w:firstLine="2880" w:end="0"/>
        <w:rPr>
          <w:sz w:val="26"/>
        </w:rPr>
      </w:pPr>
      <w:r>
        <w:rPr>
          <w:sz w:val="26"/>
        </w:rPr>
      </w:r>
    </w:p>
    <w:p>
      <w:pPr>
        <w:pStyle w:val="Normal"/>
        <w:widowControl/>
        <w:rPr>
          <w:sz w:val="26"/>
        </w:rPr>
      </w:pPr>
      <w:r>
        <w:rPr>
          <w:sz w:val="26"/>
        </w:rPr>
      </w:r>
    </w:p>
    <w:p>
      <w:pPr>
        <w:pStyle w:val="Normal"/>
        <w:widowControl/>
        <w:ind w:firstLine="4320" w:end="0"/>
        <w:rPr>
          <w:sz w:val="26"/>
        </w:rPr>
      </w:pPr>
      <w:r>
        <w:rPr>
          <w:sz w:val="26"/>
        </w:rPr>
        <w:t>David P. Boergers</w:t>
      </w:r>
    </w:p>
    <w:p>
      <w:pPr>
        <w:pStyle w:val="Normal"/>
        <w:widowControl/>
        <w:ind w:firstLine="4320" w:end="0"/>
        <w:rPr>
          <w:sz w:val="26"/>
        </w:rPr>
      </w:pPr>
      <w:r>
        <w:rPr>
          <w:sz w:val="26"/>
        </w:rPr>
        <w:t xml:space="preserve">     </w:t>
      </w:r>
      <w:r>
        <w:rPr>
          <w:sz w:val="26"/>
        </w:rPr>
        <w:t>Secretary</w:t>
      </w:r>
    </w:p>
    <w:sectPr>
      <w:footnotePr>
        <w:numFmt w:val="decimal"/>
      </w:footnote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66 Fed. Reg. 23253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s>
      <w:ind w:hanging="4320" w:start="4320" w:end="0"/>
      <w:rPr/>
    </w:pPr>
    <w:r>
      <w:rPr>
        <w:sz w:val="26"/>
      </w:rPr>
      <w:t>Docket No. PL01-4-000</w:t>
      <w:tab/>
      <w:tab/>
      <w:tab/>
      <w:t xml:space="preserve">     - </w:t>
    </w:r>
    <w:r>
      <w:rPr>
        <w:sz w:val="26"/>
      </w:rPr>
      <w:fldChar w:fldCharType="begin"/>
    </w:r>
    <w:r>
      <w:rPr>
        <w:sz w:val="26"/>
      </w:rPr>
      <w:instrText xml:space="preserve"> PAGE </w:instrText>
    </w:r>
    <w:r>
      <w:rPr>
        <w:sz w:val="26"/>
      </w:rPr>
      <w:fldChar w:fldCharType="separate"/>
    </w:r>
    <w:r>
      <w:rPr>
        <w:sz w:val="26"/>
      </w:rPr>
      <w:t>4</w:t>
    </w:r>
    <w:r>
      <w:rPr>
        <w:sz w:val="26"/>
      </w:rPr>
      <w:fldChar w:fldCharType="end"/>
    </w:r>
    <w:r>
      <w:rPr>
        <w:sz w:val="26"/>
      </w:rPr>
      <w:t xml:space="preserve"> -</w:t>
    </w:r>
  </w:p>
  <w:p>
    <w:pPr>
      <w:pStyle w:val="Normal"/>
      <w:spacing w:lineRule="exact" w:line="240"/>
      <w:rPr>
        <w:sz w:val="26"/>
      </w:rPr>
    </w:pPr>
    <w:r>
      <w:rPr>
        <w:sz w:val="26"/>
      </w:rPr>
    </w:r>
  </w:p>
</w:hdr>
</file>

<file path=word/settings.xml><?xml version="1.0" encoding="utf-8"?>
<w:settings xmlns:w="http://schemas.openxmlformats.org/wordprocessingml/2006/main">
  <w:zoom w:percent="6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2001-05-23T11:16:00Z</dcterms:created>
  <dc:creator>Jackie Gallagher</dc:creator>
  <dc:description/>
  <dc:language>en-CA</dc:language>
  <cp:lastModifiedBy>Jackie Gallagher</cp:lastModifiedBy>
  <cp:lastPrinted>2001-05-23T09:40:00Z</cp:lastPrinted>
  <dcterms:modified xsi:type="dcterms:W3CDTF">2001-05-23T11:16:00Z</dcterms:modified>
  <cp:revision>2</cp:revision>
  <dc:subject/>
  <dc:title/>
</cp:coreProperties>
</file>