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Risk Management &amp; Trading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Fax (713) 646-4816</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Enron Energy Services, Inc.</w:t>
      </w:r>
      <w:r>
        <w:rPr>
          <w:sz w:val="22"/>
        </w:rPr>
        <w:fldChar w:fldCharType="end"/>
      </w:r>
      <w:r>
        <w:rPr>
          <w:sz w:val="22"/>
        </w:rPr>
        <w:t xml:space="preserve"> ("Party B")</w:t>
      </w:r>
    </w:p>
    <w:p>
      <w:pPr>
        <w:pStyle w:val="Normal"/>
        <w:rPr>
          <w:sz w:val="22"/>
        </w:rPr>
      </w:pPr>
      <w:r>
        <w:rPr>
          <w:sz w:val="22"/>
        </w:rPr>
        <w:t>Attention:</w:t>
        <w:tab/>
        <w:t>Dennis Benavides</w:t>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(713) 646-3284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Risk Management &amp; Trading Corp.</w:t>
      </w:r>
      <w:r>
        <w:rPr>
          <w:sz w:val="22"/>
        </w:rPr>
        <w:fldChar w:fldCharType="end"/>
      </w:r>
      <w:r>
        <w:rPr>
          <w:sz w:val="22"/>
        </w:rPr>
        <w:t xml:space="preserve"> ("Party A")</w:t>
      </w:r>
    </w:p>
    <w:p>
      <w:pPr>
        <w:pStyle w:val="Normal"/>
        <w:rPr>
          <w:sz w:val="22"/>
        </w:rPr>
      </w:pPr>
      <w:r>
        <w:rPr>
          <w:sz w:val="22"/>
        </w:rPr>
        <w:t>Re:</w:t>
        <w:tab/>
        <w:tab/>
        <w:t xml:space="preserve">Commodity Swap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April 22, 1998,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rPr>
                <w:sz w:val="22"/>
              </w:rPr>
            </w:pPr>
            <w:r>
              <w:rPr>
                <w:sz w:val="22"/>
              </w:rPr>
              <w:t>The amount set forth in Attachment A hereto, opposite such Calculation Period and under the heading “MW”</w:t>
            </w:r>
          </w:p>
        </w:tc>
      </w:tr>
    </w:tbl>
    <w:p>
      <w:pPr>
        <w:pStyle w:val="Normal"/>
        <w:rPr>
          <w:sz w:val="22"/>
        </w:rPr>
      </w:pPr>
      <w:r>
        <w:rPr>
          <w:sz w:val="22"/>
        </w:rPr>
      </w:r>
    </w:p>
    <w:p>
      <w:pPr>
        <w:pStyle w:val="Normal"/>
        <w:ind w:firstLine="720" w:end="0"/>
        <w:rPr>
          <w:sz w:val="22"/>
        </w:rPr>
      </w:pPr>
      <w:r>
        <w:rPr>
          <w:sz w:val="22"/>
        </w:rPr>
        <w:t>Commodity:</w:t>
        <w:tab/>
        <w:tab/>
        <w:tab/>
        <w:tab/>
        <w:t>Electricity</w:t>
      </w:r>
    </w:p>
    <w:p>
      <w:pPr>
        <w:pStyle w:val="Normal"/>
        <w:rPr>
          <w:sz w:val="22"/>
        </w:rPr>
      </w:pPr>
      <w:r>
        <w:rPr>
          <w:sz w:val="22"/>
        </w:rPr>
      </w:r>
    </w:p>
    <w:p>
      <w:pPr>
        <w:pStyle w:val="Normal"/>
        <w:ind w:firstLine="720" w:end="0"/>
        <w:rPr>
          <w:sz w:val="22"/>
        </w:rPr>
      </w:pPr>
      <w:r>
        <w:rPr>
          <w:sz w:val="22"/>
        </w:rPr>
        <w:t>Commodity Unit:</w:t>
        <w:tab/>
        <w:tab/>
        <w:tab/>
      </w:r>
      <w:r>
        <w:rPr>
          <w:sz w:val="22"/>
        </w:rPr>
        <w:fldChar w:fldCharType="begin"/>
      </w:r>
      <w:r>
        <w:rPr>
          <w:sz w:val="22"/>
        </w:rPr>
        <w:instrText xml:space="preserve"> MERGEFIELD UnitOfMeasure </w:instrText>
      </w:r>
      <w:r>
        <w:rPr>
          <w:sz w:val="22"/>
        </w:rPr>
        <w:fldChar w:fldCharType="separate"/>
      </w:r>
      <w:r>
        <w:rPr>
          <w:sz w:val="22"/>
        </w:rPr>
        <w:t>Megawatt-Hours (MWh)</w:t>
      </w:r>
      <w:r>
        <w:rPr>
          <w:sz w:val="22"/>
        </w:rPr>
        <w:fldChar w:fldCharType="end"/>
      </w:r>
    </w:p>
    <w:p>
      <w:pPr>
        <w:pStyle w:val="Normal"/>
        <w:rPr>
          <w:sz w:val="22"/>
        </w:rPr>
      </w:pPr>
      <w:r>
        <w:rPr>
          <w:sz w:val="22"/>
        </w:rPr>
      </w:r>
    </w:p>
    <w:p>
      <w:pPr>
        <w:pStyle w:val="Normal"/>
        <w:ind w:firstLine="720" w:end="0"/>
        <w:rPr>
          <w:sz w:val="22"/>
        </w:rPr>
      </w:pPr>
      <w:r>
        <w:rPr>
          <w:sz w:val="22"/>
        </w:rPr>
        <w:t>Trade Date:</w:t>
        <w:tab/>
        <w:tab/>
        <w:tab/>
        <w:tab/>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Effective Date:</w:t>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snapToGrid w:val="false"/>
              <w:ind w:start="-18" w:end="0"/>
              <w:jc w:val="both"/>
              <w:rPr>
                <w:sz w:val="22"/>
              </w:rPr>
            </w:pPr>
            <w:r>
              <w:rPr>
                <w:sz w:val="22"/>
              </w:rPr>
            </w:r>
          </w:p>
        </w:tc>
      </w:tr>
    </w:tbl>
    <w:p>
      <w:pPr>
        <w:pStyle w:val="Normal"/>
        <w:rPr>
          <w:sz w:val="22"/>
        </w:rPr>
      </w:pPr>
      <w:r>
        <w:rPr>
          <w:sz w:val="22"/>
        </w:rPr>
      </w:r>
    </w:p>
    <w:tbl>
      <w:tblPr>
        <w:tblW w:w="16452" w:type="dxa"/>
        <w:jc w:val="start"/>
        <w:tblInd w:w="0" w:type="dxa"/>
        <w:tblLayout w:type="fixed"/>
        <w:tblCellMar>
          <w:top w:w="0" w:type="dxa"/>
          <w:start w:w="108" w:type="dxa"/>
          <w:bottom w:w="0" w:type="dxa"/>
          <w:end w:w="108" w:type="dxa"/>
        </w:tblCellMar>
      </w:tblPr>
      <w:tblGrid>
        <w:gridCol w:w="4428"/>
        <w:gridCol w:w="6012"/>
        <w:gridCol w:w="6012"/>
      </w:tblGrid>
      <w:tr>
        <w:trPr/>
        <w:tc>
          <w:tcPr>
            <w:tcW w:w="4428" w:type="dxa"/>
            <w:tcBorders/>
          </w:tcPr>
          <w:p>
            <w:pPr>
              <w:pStyle w:val="Normal"/>
              <w:ind w:firstLine="720" w:end="0"/>
              <w:jc w:val="both"/>
              <w:rPr>
                <w:sz w:val="22"/>
              </w:rPr>
            </w:pPr>
            <w:r>
              <w:rPr>
                <w:sz w:val="22"/>
              </w:rPr>
              <w:t>Calculation Period(s):</w:t>
            </w:r>
          </w:p>
        </w:tc>
        <w:tc>
          <w:tcPr>
            <w:tcW w:w="6012" w:type="dxa"/>
            <w:tcBorders/>
          </w:tcPr>
          <w:p>
            <w:pPr>
              <w:pStyle w:val="Normal"/>
              <w:ind w:start="-108" w:end="0"/>
              <w:jc w:val="both"/>
              <w:rPr>
                <w:sz w:val="22"/>
              </w:rPr>
            </w:pPr>
            <w:r>
              <w:rPr>
                <w:sz w:val="22"/>
              </w:rPr>
              <w:t>For each date set forth in Attachment A hereto under the heading “Term”, the calendar month corresponding to each such date</w:t>
            </w:r>
          </w:p>
        </w:tc>
        <w:tc>
          <w:tcPr>
            <w:tcW w:w="6012" w:type="dxa"/>
            <w:tcBorders/>
          </w:tcPr>
          <w:p>
            <w:pPr>
              <w:pStyle w:val="Normal"/>
              <w:ind w:start="-108" w:end="0"/>
              <w:jc w:val="both"/>
              <w:rPr>
                <w:sz w:val="22"/>
              </w:rPr>
            </w:pP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r>
        <w:br w:type="page"/>
      </w:r>
    </w:p>
    <w:p>
      <w:pPr>
        <w:pStyle w:val="Normal"/>
        <w:rPr>
          <w:sz w:val="22"/>
        </w:rPr>
      </w:pPr>
      <w:r>
        <w:rPr>
          <w:sz w:val="22"/>
        </w:rPr>
      </w:r>
    </w:p>
    <w:p>
      <w:pPr>
        <w:pStyle w:val="Normal"/>
        <w:rPr/>
      </w:pPr>
      <w:r>
        <w:rPr>
          <w:b/>
          <w:sz w:val="22"/>
        </w:rPr>
        <w:t>Fixed Amount Details:</w:t>
      </w:r>
      <w:r>
        <w:rPr>
          <w:sz w:val="22"/>
        </w:rPr>
        <w:tab/>
        <w:tab/>
        <w:tab/>
      </w:r>
    </w:p>
    <w:p>
      <w:pPr>
        <w:pStyle w:val="Normal"/>
        <w:rPr>
          <w:sz w:val="22"/>
        </w:rPr>
      </w:pPr>
      <w:r>
        <w:rPr>
          <w:sz w:val="22"/>
        </w:rPr>
      </w:r>
    </w:p>
    <w:p>
      <w:pPr>
        <w:pStyle w:val="Normal"/>
        <w:ind w:firstLine="720" w:end="0"/>
        <w:rPr/>
      </w:pPr>
      <w:r>
        <w:rPr>
          <w:sz w:val="22"/>
        </w:rPr>
        <w:t xml:space="preserve">Fixed Price Payer: </w:t>
        <w:tab/>
        <w:tab/>
        <w:tab/>
      </w: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B</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w:t>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pPr>
      <w:r>
        <w:rPr>
          <w:sz w:val="22"/>
        </w:rPr>
        <w:t xml:space="preserve">Floating Price Payer: </w:t>
        <w:tab/>
        <w:tab/>
        <w:tab/>
      </w: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A</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BodyText"/>
              <w:snapToGrid w:val="false"/>
              <w:rPr>
                <w:sz w:val="22"/>
              </w:rPr>
            </w:pPr>
            <w:r>
              <w:rPr>
                <w:sz w:val="22"/>
              </w:rPr>
            </w:r>
          </w:p>
          <w:p>
            <w:pPr>
              <w:pStyle w:val="BodyText"/>
              <w:rPr/>
            </w:pPr>
            <w:r>
              <w:rPr/>
              <w:t>The average of the hourly locational marginal prices for the delivery of Electricity at the Western Hub of the Pennsylvania-New</w:t>
            </w:r>
            <w:r>
              <w:rPr>
                <w:rFonts w:eastAsia="Symbol" w:cs="Symbol" w:ascii="Symbol" w:hAnsi="Symbol"/>
              </w:rPr>
              <w:sym w:font="Symbol" w:char="f020"/>
            </w:r>
            <w:r>
              <w:rPr/>
              <w:t>Jersey-Maryland</w:t>
            </w:r>
            <w:r>
              <w:rPr>
                <w:rFonts w:eastAsia="Symbol" w:cs="Symbol" w:ascii="Symbol" w:hAnsi="Symbol"/>
              </w:rPr>
              <w:sym w:font="Symbol" w:char="f020"/>
            </w:r>
            <w:r>
              <w:rPr/>
              <w:t>Interconnection(“PJM”) for each On-Peak Hour during the Calculation Period as published (in final, not estimate, form) by the PJM on the PJM Internet web page currently</w:t>
            </w:r>
            <w:r>
              <w:rPr>
                <w:rFonts w:eastAsia="Symbol" w:cs="Symbol" w:ascii="Symbol" w:hAnsi="Symbol"/>
              </w:rPr>
              <w:sym w:font="Symbol" w:char="f020"/>
            </w:r>
            <w:r>
              <w:rPr/>
              <w:t>located</w:t>
            </w:r>
            <w:r>
              <w:rPr>
                <w:rFonts w:eastAsia="Symbol" w:cs="Symbol" w:ascii="Symbol" w:hAnsi="Symbol"/>
              </w:rPr>
              <w:sym w:font="Symbol" w:char="f020"/>
            </w:r>
            <w:r>
              <w:rPr/>
              <w:t>at</w:t>
            </w:r>
            <w:r>
              <w:rPr>
                <w:rFonts w:eastAsia="Symbol" w:cs="Symbol" w:ascii="Symbol" w:hAnsi="Symbol"/>
              </w:rPr>
              <w:sym w:font="Symbol" w:char="f020"/>
              <w:sym w:font="Symbol" w:char="f020"/>
            </w:r>
            <w:hyperlink r:id="rId3">
              <w:r>
                <w:rPr>
                  <w:rStyle w:val="Hyperlink"/>
                </w:rPr>
                <w:t>ftp://www.pjm.com/pub/account/lmp/ index.html</w:t>
              </w:r>
            </w:hyperlink>
            <w:r>
              <w:rPr/>
              <w:t>, or any successor thereto, which provides the dates under the “PJM-Locational Marginal Pricing Files” heading, which after the appropriate date is selected, identifies the hourly prices located opposite the caption “Western Hub”.</w:t>
            </w:r>
          </w:p>
          <w:p>
            <w:pPr>
              <w:pStyle w:val="BodyText"/>
              <w:rPr/>
            </w:pPr>
            <w:r>
              <w:rPr/>
            </w:r>
          </w:p>
          <w:p>
            <w:pPr>
              <w:pStyle w:val="BodyText"/>
              <w:rPr/>
            </w:pPr>
            <w:r>
              <w:rPr/>
              <w:t>“</w:t>
            </w:r>
            <w:r>
              <w:rPr/>
              <w:t xml:space="preserve">On-Peak Hour” means each hour commencing HE 0800 through 2300 EPT, Monday through Friday, (excluding holidays of the North American Electric Reliability Council). </w:t>
            </w:r>
            <w:r>
              <w:rPr>
                <w:color w:val="FF0000"/>
              </w:rPr>
              <w:t>In the event that a price for any On Peak Hour determined as set forth above is equal to or less than zero, then the price for such On Peak Hour shall equal zero.</w:t>
            </w:r>
          </w:p>
          <w:p>
            <w:pPr>
              <w:pStyle w:val="BodyText"/>
              <w:rPr/>
            </w:pPr>
            <w:r>
              <w:rPr/>
            </w:r>
          </w:p>
          <w:p>
            <w:pPr>
              <w:pStyle w:val="BodyText"/>
              <w:rPr/>
            </w:pPr>
            <w:r>
              <w:rPr/>
              <w:t>If this index is no longer available or is no longer representative of market conditions, then the parties shall mutually agree to revise the index to reflect market prices and conditions.</w:t>
            </w:r>
          </w:p>
          <w:p>
            <w:pPr>
              <w:pStyle w:val="Normal"/>
              <w:jc w:val="both"/>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p>
            <w:pPr>
              <w:pStyle w:val="Normal"/>
              <w:tabs>
                <w:tab w:val="clear" w:pos="720"/>
                <w:tab w:val="left" w:pos="630" w:leader="none"/>
              </w:tabs>
              <w:jc w:val="both"/>
              <w:rPr>
                <w:sz w:val="22"/>
              </w:rPr>
            </w:pPr>
            <w:r>
              <w:rPr>
                <w:sz w:val="22"/>
              </w:rPr>
            </w:r>
          </w:p>
          <w:p>
            <w:pPr>
              <w:pStyle w:val="Normal"/>
              <w:tabs>
                <w:tab w:val="clear" w:pos="720"/>
                <w:tab w:val="left" w:pos="630" w:leader="none"/>
              </w:tabs>
              <w:jc w:val="both"/>
              <w:rPr>
                <w:sz w:val="22"/>
              </w:rPr>
            </w:pPr>
            <w:r>
              <w:rPr>
                <w:sz w:val="22"/>
              </w:rPr>
              <w:t xml:space="preserve">         </w:t>
            </w:r>
            <w:r>
              <w:rPr>
                <w:sz w:val="22"/>
              </w:rPr>
              <w:t>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tabs>
                <w:tab w:val="clear" w:pos="720"/>
                <w:tab w:val="left" w:pos="630" w:leader="none"/>
              </w:tabs>
              <w:jc w:val="both"/>
              <w:rPr>
                <w:sz w:val="22"/>
              </w:rPr>
            </w:pPr>
            <w:r>
              <w:rPr>
                <w:sz w:val="22"/>
              </w:rPr>
            </w:r>
          </w:p>
          <w:p>
            <w:pPr>
              <w:pStyle w:val="Normal"/>
              <w:tabs>
                <w:tab w:val="clear" w:pos="720"/>
                <w:tab w:val="left" w:pos="630" w:leader="none"/>
              </w:tabs>
              <w:jc w:val="both"/>
              <w:rPr>
                <w:sz w:val="22"/>
              </w:rPr>
            </w:pPr>
            <w:r>
              <w:rPr>
                <w:sz w:val="22"/>
              </w:rPr>
              <w:t xml:space="preserve">            </w:t>
            </w:r>
            <w:r>
              <w:rPr>
                <w:sz w:val="22"/>
              </w:rPr>
              <w:t>Party B identifies this Transaction as a hedging transaction for federal income tax purposes.  Party B hereby identifies the Commodity and the Notional Quantity described in this Confirmation as the property being hedged.  If Party B is a domestic entity, it uses the method of tax accounting set forth in Treasury Regulation section 1.446-3 for hedging transactions involving notional principal contracts.</w:t>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rHeight w:val="2034" w:hRule="atLeast"/>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Risk Management &amp; Trading Corp.</w:t>
            </w:r>
            <w:r>
              <w:rPr>
                <w:sz w:val="22"/>
              </w:rPr>
              <w:fldChar w:fldCharType="end"/>
            </w:r>
          </w:p>
          <w:p>
            <w:pPr>
              <w:pStyle w:val="Normal"/>
              <w:rPr>
                <w:sz w:val="22"/>
              </w:rPr>
            </w:pPr>
            <w:r>
              <w:rPr>
                <w:sz w:val="22"/>
              </w:rPr>
              <w:tab/>
              <w:tab/>
              <w:tab/>
              <w:tab/>
              <w:tab/>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c>
          <w:tcPr>
            <w:tcW w:w="5292" w:type="dxa"/>
            <w:tcBorders/>
          </w:tcPr>
          <w:p>
            <w:pPr>
              <w:pStyle w:val="Normal"/>
              <w:rPr>
                <w:sz w:val="22"/>
              </w:rPr>
            </w:pPr>
            <w:r>
              <w:rPr>
                <w:sz w:val="22"/>
              </w:rPr>
              <w:t xml:space="preserve">Deal No.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Enron Energy Services, Inc.</w:t>
            </w:r>
            <w:r>
              <w:rPr>
                <w:sz w:val="22"/>
              </w:rPr>
              <w:fldChar w:fldCharType="end"/>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pPr>
      <w:r>
        <w:rPr/>
        <w:tab/>
        <w:tab/>
        <w:tab/>
        <w:tab/>
        <w:tab/>
      </w:r>
    </w:p>
    <w:sectPr>
      <w:headerReference w:type="default" r:id="rId4"/>
      <w:footerReference w:type="default" r:id="rId5"/>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widowControl w:val="false"/>
      <w:jc w:val="both"/>
    </w:pPr>
    <w:rPr>
      <w:rFonts w:ascii="Arial" w:hAnsi="Arial" w:cs="Arial"/>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ftp://www.pjm.com/pub/account/lmp/index.htm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1999-10-30T11:29:00Z</dcterms:created>
  <dc:creator>ECT</dc:creator>
  <dc:description/>
  <dc:language>en-CA</dc:language>
  <cp:lastModifiedBy>ddupre2</cp:lastModifiedBy>
  <cp:lastPrinted>1999-10-29T01:09:00Z</cp:lastPrinted>
  <dcterms:modified xsi:type="dcterms:W3CDTF">1999-10-30T11:45:00Z</dcterms:modified>
  <cp:revision>3</cp:revision>
  <dc:subject>Enron Energy Services, Inc.</dc:subject>
  <dc:title>EY4479.1</dc:title>
</cp:coreProperties>
</file>