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8"/>
        </w:rPr>
      </w:pPr>
      <w:r>
        <w:rPr>
          <w:rFonts w:ascii="Times New Roman" w:hAnsi="Times New Roman"/>
          <w:b/>
          <w:sz w:val="28"/>
        </w:rPr>
        <w:t>UNITED STATES OF AMERICA</w:t>
      </w:r>
    </w:p>
    <w:p>
      <w:pPr>
        <w:pStyle w:val="Normal"/>
        <w:bidi w:val="0"/>
        <w:spacing w:lineRule="atLeast" w:line="0"/>
        <w:jc w:val="center"/>
        <w:rPr>
          <w:rFonts w:ascii="Times New Roman" w:hAnsi="Times New Roman"/>
          <w:b/>
          <w:sz w:val="28"/>
        </w:rPr>
      </w:pPr>
      <w:r>
        <w:rPr>
          <w:rFonts w:ascii="Times New Roman" w:hAnsi="Times New Roman"/>
          <w:b/>
          <w:sz w:val="28"/>
        </w:rPr>
        <w:t>BEFORE THE</w:t>
      </w:r>
    </w:p>
    <w:p>
      <w:pPr>
        <w:pStyle w:val="Normal"/>
        <w:bidi w:val="0"/>
        <w:spacing w:lineRule="atLeast" w:line="0"/>
        <w:jc w:val="center"/>
        <w:rPr>
          <w:rFonts w:ascii="Times New Roman" w:hAnsi="Times New Roman"/>
          <w:sz w:val="28"/>
        </w:rPr>
      </w:pPr>
      <w:r>
        <w:rPr>
          <w:rFonts w:ascii="Times New Roman" w:hAnsi="Times New Roman"/>
          <w:b/>
          <w:sz w:val="28"/>
        </w:rPr>
        <w:t>FEDERAL ENERGY REGULATORY COMMISSION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w:t>
      </w:r>
    </w:p>
    <w:p>
      <w:pPr>
        <w:pStyle w:val="Normal"/>
        <w:tabs>
          <w:tab w:val="left" w:pos="720" w:leader="none"/>
          <w:tab w:val="left" w:pos="1440" w:leader="none"/>
          <w:tab w:val="left" w:pos="2160" w:leader="none"/>
          <w:tab w:val="left" w:pos="2880" w:leader="none"/>
        </w:tabs>
        <w:bidi w:val="0"/>
        <w:spacing w:lineRule="atLeast" w:line="0"/>
        <w:ind w:hanging="2880" w:start="2880"/>
        <w:jc w:val="both"/>
        <w:rPr>
          <w:rFonts w:ascii="Times New Roman" w:hAnsi="Times New Roman"/>
          <w:sz w:val="24"/>
        </w:rPr>
      </w:pPr>
      <w:r>
        <w:rPr>
          <w:rFonts w:ascii="Times New Roman" w:hAnsi="Times New Roman"/>
          <w:sz w:val="24"/>
        </w:rPr>
        <w:t>PJM Interconnection, L.L.C.</w:t>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Allegheny Electric Cooperative, Inc.</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Atlantic City Electric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Baltimore Gas &amp; Electric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Delmarva Power &amp; Light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Jersey Central Power &amp; Light Company</w:t>
        <w:tab/>
        <w:t>)</w:t>
        <w:tab/>
        <w:t>Docket No. RT01-2-000</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Metropolitan Edison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PECO Energy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Pennsylvania Electric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PPL Electric Utilities Corporation</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Potomac Electric Power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Public Service Electric &amp; Gas Company</w:t>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UGI Utilities Inc.</w:t>
        <w:tab/>
        <w:tab/>
        <w:tab/>
        <w:tab/>
        <w:t>)</w:t>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8"/>
        </w:rPr>
      </w:pPr>
      <w:r>
        <w:rPr>
          <w:rFonts w:ascii="Times New Roman" w:hAnsi="Times New Roman"/>
          <w:b/>
          <w:sz w:val="28"/>
        </w:rPr>
        <w:t>COMMENTS AND PROTEST</w:t>
      </w:r>
    </w:p>
    <w:p>
      <w:pPr>
        <w:pStyle w:val="Normal"/>
        <w:bidi w:val="0"/>
        <w:spacing w:lineRule="atLeast" w:line="0"/>
        <w:jc w:val="center"/>
        <w:rPr>
          <w:rFonts w:ascii="Times New Roman" w:hAnsi="Times New Roman"/>
          <w:sz w:val="28"/>
        </w:rPr>
      </w:pPr>
      <w:r>
        <w:rPr>
          <w:rFonts w:ascii="Times New Roman" w:hAnsi="Times New Roman"/>
          <w:b/>
          <w:sz w:val="28"/>
        </w:rPr>
        <w:t>OF ENRON POWER MARKETING,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Pursuant to 18 C.F.R. § 385.211 (2000) and the Commission's October 20, 2000, Notice of Filing, intervenor Enron Power Marketing, Inc. ("EPMI") hereby comments on and protests the October 11, 2000, filing of the PJM Interconnection, L.L.C. ("PJM") and its transmission-owning members in this docket in purported compliance with the Commission's Order No.    2000 on regional transmission organizations ("RTO").</w:t>
      </w:r>
      <w:r>
        <w:rPr>
          <w:rStyle w:val="FootnoteReference"/>
          <w:rFonts w:ascii="Times New Roman" w:hAnsi="Times New Roman"/>
          <w:sz w:val="24"/>
          <w:vertAlign w:val="superscript"/>
        </w:rPr>
        <w:footnoteReference w:id="2"/>
      </w:r>
      <w:r>
        <w:rPr>
          <w:rFonts w:ascii="Times New Roman" w:hAnsi="Times New Roman"/>
          <w:sz w:val="24"/>
        </w:rPr>
        <w:t>    EPMI opposes Commission recognition of the existing PJM as an RTO and asks the Commission to order PJM to supplement its proposal to address the deficiency identified in the Protest below.    In support of its opposition, EPMI states:</w:t>
      </w:r>
    </w:p>
    <w:p>
      <w:pPr>
        <w:pStyle w:val="Normal"/>
        <w:bidi w:val="0"/>
        <w:jc w:val="start"/>
        <w:rPr>
          <w:rFonts w:ascii="Times New Roman" w:hAnsi="Times New Roman"/>
          <w:b/>
          <w:sz w:val="28"/>
        </w:rPr>
      </w:pPr>
      <w:r>
        <w:rPr>
          <w:rFonts w:ascii="Times New Roman" w:hAnsi="Times New Roman"/>
          <w:b/>
          <w:sz w:val="26"/>
        </w:rPr>
        <w:tab/>
      </w:r>
      <w:r>
        <w:rPr>
          <w:rFonts w:ascii="Times New Roman" w:hAnsi="Times New Roman"/>
          <w:b/>
          <w:sz w:val="28"/>
        </w:rPr>
        <w:t>I.</w:t>
      </w:r>
    </w:p>
    <w:p>
      <w:pPr>
        <w:pStyle w:val="Normal"/>
        <w:bidi w:val="0"/>
        <w:jc w:val="center"/>
        <w:rPr>
          <w:rFonts w:ascii="Times New Roman" w:hAnsi="Times New Roman"/>
          <w:sz w:val="26"/>
        </w:rPr>
      </w:pPr>
      <w:r>
        <w:rPr>
          <w:rFonts w:ascii="Times New Roman" w:hAnsi="Times New Roman"/>
          <w:b/>
          <w:sz w:val="28"/>
        </w:rPr>
        <w:t>COMMENTS</w:t>
      </w:r>
    </w:p>
    <w:p>
      <w:pPr>
        <w:pStyle w:val="Normal"/>
        <w:bidi w:val="0"/>
        <w:jc w:val="start"/>
        <w:rPr>
          <w:rFonts w:ascii="Times New Roman" w:hAnsi="Times New Roman"/>
          <w:sz w:val="26"/>
        </w:rPr>
      </w:pPr>
      <w:r>
        <w:rPr>
          <w:rFonts w:ascii="Times New Roman" w:hAnsi="Times New Roman"/>
          <w:sz w:val="26"/>
        </w:rPr>
      </w:r>
    </w:p>
    <w:p>
      <w:pPr>
        <w:pStyle w:val="Normal"/>
        <w:bidi w:val="0"/>
        <w:spacing w:lineRule="atLeast" w:line="480"/>
        <w:jc w:val="start"/>
        <w:rPr>
          <w:rFonts w:ascii="Times New Roman" w:hAnsi="Times New Roman"/>
          <w:sz w:val="24"/>
        </w:rPr>
      </w:pPr>
      <w:r>
        <w:rPr>
          <w:rFonts w:ascii="Times New Roman" w:hAnsi="Times New Roman"/>
          <w:sz w:val="24"/>
        </w:rPr>
        <w:tab/>
        <w:t xml:space="preserve">The status quo of PJM falls short of satisfying all of the characteristics and functions that the Commission prescribed for an RTO in Order No.    2000.    For this reason, the Commission should deny PJM's request that the Commission recognize it as an RTO. </w:t>
      </w:r>
    </w:p>
    <w:p>
      <w:pPr>
        <w:pStyle w:val="Normal"/>
        <w:bidi w:val="0"/>
        <w:spacing w:lineRule="atLeast" w:line="480"/>
        <w:jc w:val="start"/>
        <w:rPr>
          <w:rFonts w:ascii="Times New Roman" w:hAnsi="Times New Roman"/>
          <w:sz w:val="24"/>
        </w:rPr>
      </w:pPr>
      <w:r>
        <w:rPr>
          <w:rFonts w:ascii="Times New Roman" w:hAnsi="Times New Roman"/>
          <w:sz w:val="24"/>
        </w:rPr>
        <w:tab/>
        <w:t xml:space="preserve">Notwithstanding the deficiencies that stand between it and RTO status, there is much to commend in the existing PJM, including many attributes that should lay the foundation for PJM becoming a fully compliant RTO in the future.    PJM has a very sound and independent management.    The PJM Board is a non-stakeholder board, populated entirely by independents, possessing no financial interest in any market participant.    They were identified in the first place by an independent search firm and voted on by the PJM membership.    Employees of PJM likewise are prohibited from taking a financial interest in any market participant.    The PJM Board is advised by various committees, but the Board is under no obligation to follow the recommendations of those committees.    </w:t>
      </w:r>
    </w:p>
    <w:p>
      <w:pPr>
        <w:pStyle w:val="Normal"/>
        <w:bidi w:val="0"/>
        <w:spacing w:lineRule="atLeast" w:line="480"/>
        <w:jc w:val="start"/>
        <w:rPr>
          <w:rFonts w:ascii="Times New Roman" w:hAnsi="Times New Roman"/>
          <w:sz w:val="24"/>
        </w:rPr>
      </w:pPr>
      <w:r>
        <w:rPr>
          <w:rFonts w:ascii="Times New Roman" w:hAnsi="Times New Roman"/>
          <w:sz w:val="24"/>
        </w:rPr>
        <w:tab/>
        <w:t xml:space="preserve">PJM alone, and not its transmission-owning members, controls and independently can petition the Commission to change its transmission tariff and related jurisdictional facilities.      Moreover, PJM achieves service comparability under its tariff to a degree unknown to most other transmission systems.    This is because all uses of the PJM grid, for wholesales and retail sales, are subject to compliance with the same transmission tariff.    </w:t>
      </w:r>
    </w:p>
    <w:p>
      <w:pPr>
        <w:pStyle w:val="Normal"/>
        <w:bidi w:val="0"/>
        <w:spacing w:lineRule="atLeast" w:line="480"/>
        <w:jc w:val="start"/>
        <w:rPr>
          <w:rFonts w:ascii="Times New Roman" w:hAnsi="Times New Roman"/>
          <w:sz w:val="24"/>
        </w:rPr>
      </w:pPr>
      <w:r>
        <w:rPr>
          <w:rFonts w:ascii="Times New Roman" w:hAnsi="Times New Roman"/>
          <w:sz w:val="24"/>
        </w:rPr>
        <w:tab/>
        <w:t xml:space="preserve">PJM enjoys complete operational authority over the PJM grid as the single control area operator in the PJM system, and is responsible for its short-term reliability.    It also operates its own open-access same-time information system ("OASIS").    The PJM OASIS is a model of clarity.    Its postings are kept current and accurate, unlike the majority of OASIS sites. </w:t>
      </w:r>
    </w:p>
    <w:p>
      <w:pPr>
        <w:pStyle w:val="Normal"/>
        <w:bidi w:val="0"/>
        <w:spacing w:lineRule="atLeast" w:line="480"/>
        <w:jc w:val="start"/>
        <w:rPr>
          <w:rFonts w:ascii="Times New Roman" w:hAnsi="Times New Roman"/>
          <w:sz w:val="24"/>
        </w:rPr>
      </w:pPr>
      <w:r>
        <w:rPr>
          <w:rFonts w:ascii="Times New Roman" w:hAnsi="Times New Roman"/>
          <w:sz w:val="24"/>
        </w:rPr>
        <w:tab/>
        <w:t>In addition, PJM has pioneered a real-time congestion management system, locational marginal pricing ("LMP").    The LMP system provides an effective system of accounting for congestion in real-time and for settling unbalanced schedules.    As explained more fully below, LMP    coupled with a system of financial rights intended to hedge against LMP's results,    have prevented PJM from achieving a forward market, which is an essential part of any efficient market and something    that an RTO should be capable of accommodating.</w:t>
      </w:r>
    </w:p>
    <w:p>
      <w:pPr>
        <w:pStyle w:val="Normal"/>
        <w:bidi w:val="0"/>
        <w:spacing w:lineRule="atLeast" w:line="480"/>
        <w:jc w:val="start"/>
        <w:rPr>
          <w:rFonts w:ascii="Times New Roman" w:hAnsi="Times New Roman"/>
          <w:sz w:val="24"/>
        </w:rPr>
      </w:pPr>
      <w:r>
        <w:rPr>
          <w:rFonts w:ascii="Times New Roman" w:hAnsi="Times New Roman"/>
          <w:sz w:val="24"/>
        </w:rPr>
        <w:tab/>
        <w:t>In sum, as one of the first independent system operators ("ISO") to emerge following the Commission's 1996 open-access order, PJM has made significant progress.    However, it can and should grow beyond the status quo into a bonafide RTO.    In the immediately following section, EPMI provides recommendations for moving PJM beyond the status quo, as well as criteria that the Commission should apply in its evaluation of PJM as an RTO.</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8"/>
        </w:rPr>
      </w:pPr>
      <w:r>
        <w:rPr>
          <w:rFonts w:ascii="Times New Roman" w:hAnsi="Times New Roman"/>
          <w:b/>
          <w:sz w:val="24"/>
        </w:rPr>
        <w:tab/>
        <w:tab/>
      </w:r>
      <w:r>
        <w:rPr>
          <w:rFonts w:ascii="Times New Roman" w:hAnsi="Times New Roman"/>
          <w:b/>
          <w:sz w:val="28"/>
        </w:rPr>
        <w:t xml:space="preserve">II. </w:t>
      </w:r>
    </w:p>
    <w:p>
      <w:pPr>
        <w:pStyle w:val="Normal"/>
        <w:bidi w:val="0"/>
        <w:jc w:val="center"/>
        <w:rPr>
          <w:rFonts w:ascii="Times New Roman" w:hAnsi="Times New Roman"/>
          <w:sz w:val="28"/>
        </w:rPr>
      </w:pPr>
      <w:r>
        <w:rPr>
          <w:rFonts w:ascii="Times New Roman" w:hAnsi="Times New Roman"/>
          <w:b/>
          <w:sz w:val="28"/>
        </w:rPr>
        <w:t>CRITERIA FOR EVALUATING PJM</w:t>
      </w:r>
    </w:p>
    <w:p>
      <w:pPr>
        <w:pStyle w:val="Normal"/>
        <w:bidi w:val="0"/>
        <w:jc w:val="center"/>
        <w:rPr>
          <w:rFonts w:ascii="Times New Roman" w:hAnsi="Times New Roman"/>
          <w:sz w:val="28"/>
        </w:rPr>
      </w:pPr>
      <w:r>
        <w:rPr>
          <w:rFonts w:ascii="Times New Roman" w:hAnsi="Times New Roman"/>
          <w:b/>
          <w:sz w:val="28"/>
        </w:rPr>
        <w:t xml:space="preserve">AS AN RTO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The Commission undertook its Order No. 2000 RTO initiative in order to provide the industry with a twenty-first century roadmap for finishing the business that it began in the open-access orders, Orders No. 888</w:t>
      </w:r>
      <w:r>
        <w:rPr>
          <w:rStyle w:val="FootnoteReference"/>
          <w:rFonts w:ascii="Times New Roman" w:hAnsi="Times New Roman"/>
          <w:sz w:val="24"/>
          <w:vertAlign w:val="superscript"/>
        </w:rPr>
        <w:footnoteReference w:id="3"/>
      </w:r>
      <w:r>
        <w:rPr>
          <w:rFonts w:ascii="Times New Roman" w:hAnsi="Times New Roman"/>
          <w:sz w:val="24"/>
        </w:rPr>
        <w:t xml:space="preserve"> and No. 889</w:t>
      </w:r>
      <w:r>
        <w:rPr>
          <w:rStyle w:val="FootnoteReference"/>
          <w:rFonts w:ascii="Times New Roman" w:hAnsi="Times New Roman"/>
          <w:sz w:val="24"/>
          <w:vertAlign w:val="superscript"/>
        </w:rPr>
        <w:footnoteReference w:id="4"/>
      </w:r>
      <w:r>
        <w:rPr>
          <w:rFonts w:ascii="Times New Roman" w:hAnsi="Times New Roman"/>
          <w:sz w:val="24"/>
        </w:rPr>
        <w:t>.    That business is the orderly transition from closed power markets of regulated monopolies to a competitive national market that is open to entry and capable of supporting robust competition in wholesale, bulk power markets and, where permitted by state authorities, in retail markets as well.    Completing this transition must be a high priority.    Lingering in the transition perpetuates and projects into the competitive sectors,    the continued market power of the incumbent regulated monopolies; that, in turn, produces unregulated monopolies and unrestrained market power.</w:t>
      </w:r>
    </w:p>
    <w:p>
      <w:pPr>
        <w:pStyle w:val="Normal"/>
        <w:bidi w:val="0"/>
        <w:spacing w:lineRule="atLeast" w:line="480"/>
        <w:jc w:val="start"/>
        <w:rPr>
          <w:rFonts w:ascii="Times New Roman" w:hAnsi="Times New Roman"/>
          <w:sz w:val="24"/>
        </w:rPr>
      </w:pPr>
      <w:r>
        <w:rPr>
          <w:rFonts w:ascii="Times New Roman" w:hAnsi="Times New Roman"/>
          <w:sz w:val="24"/>
        </w:rPr>
        <w:tab/>
        <w:t xml:space="preserve">Order No. 2000 rightly targeted the lack of market mechanisms in place that are essential to achieving both economic and engineering efficiencies.    To remove this barrier, transmission system operators need to offer new services that are required to support new entry and equal access to markets. </w:t>
      </w:r>
    </w:p>
    <w:p>
      <w:pPr>
        <w:pStyle w:val="Normal"/>
        <w:bidi w:val="0"/>
        <w:spacing w:lineRule="atLeast" w:line="480"/>
        <w:jc w:val="start"/>
        <w:rPr>
          <w:rFonts w:ascii="Times New Roman" w:hAnsi="Times New Roman"/>
          <w:sz w:val="24"/>
        </w:rPr>
      </w:pPr>
      <w:r>
        <w:rPr>
          <w:rFonts w:ascii="Times New Roman" w:hAnsi="Times New Roman"/>
          <w:sz w:val="24"/>
        </w:rPr>
        <w:tab/>
        <w:t xml:space="preserve">PJM must be evaluated, and its compliance with Order No. 2000 must ultimately be judged by how well it would put in place market mechanisms that are essential to achieving both economic and engineering efficiencies. 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A.            One Regional Transmission Tariff Offering Region-Wide Access.</w:t>
      </w:r>
      <w:r>
        <w:rPr>
          <w:rFonts w:ascii="Times New Roman" w:hAnsi="Times New Roman"/>
          <w:b/>
          <w:sz w:val="24"/>
        </w:rPr>
        <w:t xml:space="preserve">    </w:t>
      </w:r>
      <w:r>
        <w:rPr>
          <w:rFonts w:ascii="Times New Roman" w:hAnsi="Times New Roman"/>
          <w:sz w:val="24"/>
        </w:rPr>
        <w:t>Order No. 2000 makes clear that an RTO must have a single transmission tariff for the region and offer region-wide access for a single rate.    The Commission must ensure that uniform rates for all loads are implemented as quickly as possible.</w:t>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1440"/>
          <w:pgNumType w:fmt="decimal"/>
          <w:formProt w:val="false"/>
          <w:titlePg/>
          <w:textDirection w:val="lrTb"/>
          <w:docGrid w:type="default" w:linePitch="600" w:charSpace="40960"/>
        </w:sectPr>
      </w:pPr>
    </w:p>
    <w:p>
      <w:pPr>
        <w:pStyle w:val="Normal"/>
        <w:bidi w:val="0"/>
        <w:spacing w:lineRule="atLeast" w:line="480"/>
        <w:jc w:val="start"/>
        <w:rPr>
          <w:rFonts w:ascii="Times New Roman" w:hAnsi="Times New Roman"/>
          <w:sz w:val="24"/>
        </w:rPr>
      </w:pPr>
      <w:r>
        <w:rPr>
          <w:rFonts w:ascii="Times New Roman" w:hAnsi="Times New Roman"/>
          <w:b/>
          <w:i/>
          <w:sz w:val="24"/>
        </w:rPr>
        <w:tab/>
        <w:t>B.          Offer a Market Mechanism for Managing Transmission Grid Congestion</w:t>
      </w:r>
      <w:r>
        <w:rPr>
          <w:rFonts w:ascii="Times New Roman" w:hAnsi="Times New Roman"/>
          <w:i/>
          <w:sz w:val="24"/>
        </w:rPr>
        <w:t xml:space="preserve">.    </w:t>
      </w:r>
      <w:r>
        <w:rPr>
          <w:rFonts w:ascii="Times New Roman" w:hAnsi="Times New Roman"/>
          <w:sz w:val="24"/>
        </w:rPr>
        <w:t xml:space="preserve">Essential here is that the market mechanism both provide an economic valuation of scarce capacity on the grid </w:t>
      </w:r>
      <w:r>
        <w:rPr>
          <w:rFonts w:ascii="Times New Roman" w:hAnsi="Times New Roman"/>
          <w:i/>
          <w:sz w:val="24"/>
        </w:rPr>
        <w:t>and</w:t>
      </w:r>
      <w:r>
        <w:rPr>
          <w:rFonts w:ascii="Times New Roman" w:hAnsi="Times New Roman"/>
          <w:sz w:val="24"/>
        </w:rPr>
        <w:t xml:space="preserve"> a type of right to congested capacity that can be freely traded, together with or independent of, energy on a forward basis.    The first part of this equation requires that the market valuation occur in advance of real-time operations so that price signals can be sent over horizons that are sufficiently long (surely longer than one hour or one day) as to allow buyers and sellers to respond with decisions that are economically efficient.    As to the type of right that will best support a market, it is an option that must be exercised or it will be lost.    This prevents hoarding, which could be used to disadvantage competitors and which, in any event, deprives the market of liquidity.    </w:t>
      </w:r>
    </w:p>
    <w:p>
      <w:pPr>
        <w:pStyle w:val="Normal"/>
        <w:bidi w:val="0"/>
        <w:spacing w:lineRule="atLeast" w:line="480"/>
        <w:jc w:val="start"/>
        <w:rPr>
          <w:rFonts w:ascii="Times New Roman" w:hAnsi="Times New Roman"/>
          <w:sz w:val="24"/>
        </w:rPr>
      </w:pPr>
      <w:r>
        <w:rPr>
          <w:rFonts w:ascii="Times New Roman" w:hAnsi="Times New Roman"/>
          <w:sz w:val="24"/>
        </w:rPr>
        <w:tab/>
        <w:t>An option type of right contrasts with the PJM fixed transmission right ("FTR") that does not have to be exercised, but which rather entitles its holder to a revenue stream whether the holder uses it or not.    This latter type of right should be avoided because it can reward and does not punish hoarding.    Finally, all of the market benefits of the congestion management system depend critically on the option (or other right) being made available pursuant to a market mechanism, such as a periodic auction, bilateral trading or both.    In contrast, PJM makes FTRs available pursuant to an administrative (non-economic) allocation, which prevents market valuation of congested capacity.</w:t>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C.          Information Service.</w:t>
      </w:r>
      <w:r>
        <w:rPr>
          <w:rFonts w:ascii="Times New Roman" w:hAnsi="Times New Roman"/>
          <w:b/>
          <w:sz w:val="24"/>
        </w:rPr>
        <w:t xml:space="preserve">    </w:t>
      </w:r>
      <w:r>
        <w:rPr>
          <w:rFonts w:ascii="Times New Roman" w:hAnsi="Times New Roman"/>
          <w:sz w:val="24"/>
        </w:rPr>
        <w:t>PJM should be directed to make much more information available to the market.    An Order No. 2000 compliant RTO should offer to the market constantly updated information on hourly forecasted load and generation that has been offered to the RTO in an hour for balancing demand and supply in real-time operations.    This will serve to provide both supply and demand resources with hourly demand and supply curves.    Economically efficient behavior by market participants depends critically on access to this information, which can come only from the RTO.    Engineering efficiency also requires that this information be communicated continuously, up until real-time operations begin, back and forth between the operators of not-otherwise committed resources and the RTO so that the RTO can select those resources that best address an imbalance in real time.</w:t>
      </w:r>
    </w:p>
    <w:p>
      <w:pPr>
        <w:pStyle w:val="Normal"/>
        <w:bidi w:val="0"/>
        <w:spacing w:lineRule="atLeast" w:line="480"/>
        <w:jc w:val="start"/>
        <w:rPr>
          <w:rFonts w:ascii="Times New Roman" w:hAnsi="Times New Roman"/>
          <w:b/>
          <w:i/>
          <w:i/>
          <w:sz w:val="24"/>
        </w:rPr>
      </w:pPr>
      <w:r>
        <w:rPr>
          <w:rFonts w:ascii="Times New Roman" w:hAnsi="Times New Roman"/>
          <w:sz w:val="24"/>
        </w:rPr>
        <w:tab/>
        <w:t xml:space="preserve">In addition to forecast load and generation bids, PJM should also be responsible for providing other information that significantly impacts hourly demand and supply curves.    This should include information on scheduled and unscheduled outages and interchange inadvertence.    </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6"/>
        </w:rPr>
      </w:pPr>
      <w:r>
        <w:rPr>
          <w:rFonts w:ascii="Times New Roman" w:hAnsi="Times New Roman"/>
          <w:b/>
          <w:sz w:val="24"/>
        </w:rPr>
        <w:tab/>
        <w:tab/>
      </w:r>
      <w:r>
        <w:rPr>
          <w:rFonts w:ascii="Times New Roman" w:hAnsi="Times New Roman"/>
          <w:b/>
          <w:sz w:val="26"/>
        </w:rPr>
        <w:t xml:space="preserve">III. </w:t>
      </w:r>
    </w:p>
    <w:p>
      <w:pPr>
        <w:pStyle w:val="Normal"/>
        <w:bidi w:val="0"/>
        <w:jc w:val="center"/>
        <w:rPr>
          <w:rFonts w:ascii="Times New Roman" w:hAnsi="Times New Roman"/>
          <w:sz w:val="24"/>
        </w:rPr>
      </w:pPr>
      <w:r>
        <w:rPr>
          <w:rFonts w:ascii="Times New Roman" w:hAnsi="Times New Roman"/>
          <w:b/>
          <w:sz w:val="26"/>
        </w:rPr>
        <w:t>PROTEST ON RTO COMPLIANCE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Although PJM has implemented important market mechanisms of an RTO, it falls short of an RTO in three critical respects.    First, it is too small and fails to internalize trading patterns and parallel path flows.    Second, its congestion management system only achieves the real-time operational purposes of congestion management, to the detriment of the formation of a liquid forward market in energy, and results in an inefficient allocation of transmission rights.    Third, it is not inter-regionally coordinated and offers no schedule by which it will achieve such coordination.</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jc w:val="start"/>
        <w:rPr>
          <w:rFonts w:ascii="Times New Roman" w:hAnsi="Times New Roman"/>
        </w:rPr>
      </w:pPr>
      <w:r>
        <w:rPr>
          <w:rFonts w:ascii="Times New Roman" w:hAnsi="Times New Roman"/>
          <w:b/>
          <w:i/>
          <w:sz w:val="26"/>
        </w:rPr>
        <w:tab/>
        <w:t>PJM Divides Rather than Encompasses Trading Patterns and Areas of High Interconnectedness</w:t>
      </w:r>
      <w:r>
        <w:rPr>
          <w:rFonts w:ascii="Times New Roman" w:hAnsi="Times New Roman"/>
          <w:sz w:val="26"/>
        </w:rPr>
        <w:t xml:space="preserve"> </w:t>
      </w:r>
      <w:r>
        <w:rPr>
          <w:rFonts w:ascii="Times New Roman" w:hAnsi="Times New Roman"/>
        </w:rPr>
        <w:tab/>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Critical to determining the appropriate scope and configuration of an RTO is ascertaining trading patterns and drawing boundaries that do "not perpetuate unnecessary barriers between energy buyers and sellers."    </w:t>
      </w:r>
      <w:r>
        <w:rPr>
          <w:rFonts w:ascii="Times New Roman" w:hAnsi="Times New Roman"/>
          <w:i/>
          <w:sz w:val="24"/>
        </w:rPr>
        <w:t>Order No. 2000</w:t>
      </w:r>
      <w:r>
        <w:rPr>
          <w:rFonts w:ascii="Times New Roman" w:hAnsi="Times New Roman"/>
          <w:sz w:val="24"/>
        </w:rPr>
        <w:t> at 31,084.    This cannot be said of PJM.</w:t>
      </w:r>
    </w:p>
    <w:p>
      <w:pPr>
        <w:pStyle w:val="Normal"/>
        <w:bidi w:val="0"/>
        <w:spacing w:lineRule="atLeast" w:line="480"/>
        <w:jc w:val="start"/>
        <w:rPr>
          <w:rFonts w:ascii="Times New Roman" w:hAnsi="Times New Roman"/>
          <w:sz w:val="24"/>
        </w:rPr>
      </w:pPr>
      <w:r>
        <w:rPr>
          <w:rFonts w:ascii="Times New Roman" w:hAnsi="Times New Roman"/>
          <w:sz w:val="24"/>
        </w:rPr>
        <w:tab/>
        <w:t xml:space="preserve">PJM defends its existing configuration on essentially historical and numerical grounds.    First, it has existed for many years as a tight, centrally dispatched pool and it has hosted a large number of transactions.    </w:t>
      </w:r>
      <w:r>
        <w:rPr>
          <w:rFonts w:ascii="Times New Roman" w:hAnsi="Times New Roman"/>
          <w:i/>
          <w:sz w:val="24"/>
        </w:rPr>
        <w:t>Trans.    Ltr.</w:t>
      </w:r>
      <w:r>
        <w:rPr>
          <w:rFonts w:ascii="Times New Roman" w:hAnsi="Times New Roman"/>
          <w:sz w:val="24"/>
        </w:rPr>
        <w:t xml:space="preserve"> at 21-22.    While both contentions may be true, neither establishes that the existing scope and configuration are appropriate today for an RTO.</w:t>
      </w:r>
    </w:p>
    <w:p>
      <w:pPr>
        <w:pStyle w:val="Normal"/>
        <w:bidi w:val="0"/>
        <w:spacing w:lineRule="atLeast" w:line="480"/>
        <w:jc w:val="start"/>
        <w:rPr>
          <w:rFonts w:ascii="Times New Roman" w:hAnsi="Times New Roman"/>
          <w:sz w:val="24"/>
        </w:rPr>
      </w:pPr>
      <w:r>
        <w:rPr>
          <w:rFonts w:ascii="Times New Roman" w:hAnsi="Times New Roman"/>
          <w:sz w:val="24"/>
        </w:rPr>
        <w:tab/>
        <w:t xml:space="preserve">Indeed, certain of the numbers that PJM offers in its defense actually indicate, to the contrary, that PJM is too small.    Specifically, PJM represents that in 1999 it "administered" import transactions with a volume of 22,600,000 megawatt hours ("MWh") and export transactions with a volume of almost 18,400,000 MWh.    The magnitude of these transactions suggest that PJM is only a part of a larger area of established trading patterns and high interconnectedness. </w:t>
      </w:r>
    </w:p>
    <w:p>
      <w:pPr>
        <w:pStyle w:val="Normal"/>
        <w:bidi w:val="0"/>
        <w:spacing w:lineRule="atLeast" w:line="480"/>
        <w:jc w:val="start"/>
        <w:rPr>
          <w:rFonts w:ascii="Times New Roman" w:hAnsi="Times New Roman"/>
          <w:sz w:val="24"/>
        </w:rPr>
      </w:pPr>
      <w:r>
        <w:rPr>
          <w:rFonts w:ascii="Times New Roman" w:hAnsi="Times New Roman"/>
          <w:sz w:val="24"/>
        </w:rPr>
        <w:tab/>
        <w:t xml:space="preserve">The inadequate scope and configuration of PJM is exacerbated by certain idiosyncratic limitations that PJM imposes on energy trading.    These include the right of PJM to recall exports during certain periods of high demand and the imposition of a $1,000 per MWh price cap on energy traded through PJM.    The former rule allows PJM at times of generation emergencies to deny its neighbors access to most of the generating capacity within PJM, even if the neighbor is willing to pay a higher price than PJM. </w:t>
      </w:r>
    </w:p>
    <w:p>
      <w:pPr>
        <w:pStyle w:val="Normal"/>
        <w:bidi w:val="0"/>
        <w:spacing w:lineRule="atLeast" w:line="480"/>
        <w:jc w:val="start"/>
        <w:rPr>
          <w:rFonts w:ascii="Times New Roman" w:hAnsi="Times New Roman"/>
          <w:sz w:val="24"/>
        </w:rPr>
      </w:pPr>
      <w:r>
        <w:rPr>
          <w:rFonts w:ascii="Times New Roman" w:hAnsi="Times New Roman"/>
          <w:sz w:val="24"/>
        </w:rPr>
        <w:tab/>
        <w:t xml:space="preserve">Allegheny Power recently announced that it may ally itself with PJM and commit the operation of its grid to PJM.    If that comes to fruition, that would be a positive development, encompassing trading patterns to the immediate west of PJM.    However, the area of even greater interconnectedness, containing recognized trading patterns, lies to the north of PJM, into New York and New England.    PJM should be directed to make a later filing on January 15, 2001 — the date initially set in Order No. 2000 for ISOs, such as PJM, to submit RTO compliance proposals — in which PJM should present jointly with the New York ISO and ISO New England a proposal for combining their grids under a single RTO with consistent rules for trading energy. </w:t>
      </w:r>
    </w:p>
    <w:p>
      <w:pPr>
        <w:pStyle w:val="Normal"/>
        <w:bidi w:val="0"/>
        <w:jc w:val="start"/>
        <w:rPr>
          <w:rFonts w:ascii="Times New Roman" w:hAnsi="Times New Roman"/>
          <w:sz w:val="24"/>
        </w:rPr>
      </w:pPr>
      <w:r>
        <w:rPr>
          <w:rFonts w:ascii="Times New Roman" w:hAnsi="Times New Roman"/>
          <w:sz w:val="24"/>
        </w:rPr>
      </w:r>
    </w:p>
    <w:p>
      <w:pPr>
        <w:pStyle w:val="1AutoList1"/>
        <w:tabs>
          <w:tab w:val="left" w:pos="720" w:leader="none"/>
          <w:tab w:val="left" w:pos="1440" w:leader="none"/>
        </w:tabs>
        <w:bidi w:val="0"/>
        <w:spacing w:lineRule="auto" w:line="240"/>
        <w:ind w:hanging="1440" w:start="1440"/>
        <w:jc w:val="start"/>
        <w:rPr>
          <w:rFonts w:ascii="Times New Roman" w:hAnsi="Times New Roman"/>
        </w:rPr>
      </w:pPr>
      <w:r>
        <w:rPr>
          <w:rFonts w:ascii="Times New Roman" w:hAnsi="Times New Roman"/>
          <w:b/>
          <w:i/>
        </w:rPr>
        <w:tab/>
        <w:t>PJM Needs to Move Beyond Efficient Accounting for Congestion to a Market (Rather than Administrative) Mechanism for Managing Congestion</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In Order No. 2000, the Commission emphasized that an RTO "must ensure the development    and operation of market mechanisms to manage congestion."    </w:t>
      </w:r>
      <w:r>
        <w:rPr>
          <w:rFonts w:ascii="Times New Roman" w:hAnsi="Times New Roman"/>
          <w:i/>
          <w:sz w:val="24"/>
        </w:rPr>
        <w:t>Order No.    2000</w:t>
      </w:r>
      <w:r>
        <w:rPr>
          <w:rFonts w:ascii="Times New Roman" w:hAnsi="Times New Roman"/>
          <w:sz w:val="24"/>
        </w:rPr>
        <w:t xml:space="preserve"> at 31,126.    The Commission did not offer a definition of market mechanism; however, a market mechanism is generally understood as a process in which a competitive equilibrium of supply and demand is reached through the communication between sellers and buyers the amount of a good or service that will be offered for sale or demanded for purchase at various price levels.    </w:t>
      </w:r>
      <w:r>
        <w:rPr>
          <w:rFonts w:ascii="Times New Roman" w:hAnsi="Times New Roman"/>
          <w:i/>
          <w:sz w:val="24"/>
        </w:rPr>
        <w:t>See generally</w:t>
      </w:r>
      <w:r>
        <w:rPr>
          <w:rFonts w:ascii="Times New Roman" w:hAnsi="Times New Roman"/>
          <w:sz w:val="24"/>
        </w:rPr>
        <w:t xml:space="preserve"> Paul A.    Samuelson, ECONOMICS, 57-65 (McGraw-Hill 1967).    By this definition, at very best, PJM's existing system of congestion management, LMP, is only a very incomplete market mechanism.    As implemented in PJM, LMP is an after-the-fact accounting mechanism, based on a model of the real-time operation of the PJM grid, that is used to allocate the marginal cost of operating the    transmission system to the users of the transmission system.    Likewise, the FTRs that PJM uses in connection with LMP are not a market mechanism.    Rather, FTRs are obligations that can have positive or negative value, which are used to hedge the accounting results of LMP.    Moreover, these rights are allocated, not sold, in the market.</w:t>
      </w:r>
    </w:p>
    <w:p>
      <w:pPr>
        <w:pStyle w:val="Normal"/>
        <w:bidi w:val="0"/>
        <w:spacing w:lineRule="atLeast" w:line="480"/>
        <w:jc w:val="start"/>
        <w:rPr>
          <w:rFonts w:ascii="Times New Roman" w:hAnsi="Times New Roman"/>
          <w:sz w:val="24"/>
        </w:rPr>
      </w:pPr>
      <w:r>
        <w:rPr>
          <w:rFonts w:ascii="Times New Roman" w:hAnsi="Times New Roman"/>
          <w:sz w:val="24"/>
        </w:rPr>
        <w:tab/>
        <w:t xml:space="preserve">FTR's associated with Network Integration Service are designed along paths from specific </w:t>
      </w:r>
    </w:p>
    <w:p>
      <w:pPr>
        <w:pStyle w:val="Normal"/>
        <w:bidi w:val="0"/>
        <w:spacing w:lineRule="atLeast" w:line="480"/>
        <w:jc w:val="start"/>
        <w:rPr>
          <w:rFonts w:ascii="Times New Roman" w:hAnsi="Times New Roman"/>
          <w:sz w:val="24"/>
        </w:rPr>
      </w:pPr>
      <w:r>
        <w:rPr>
          <w:rFonts w:ascii="Times New Roman" w:hAnsi="Times New Roman"/>
          <w:sz w:val="24"/>
        </w:rPr>
        <w:t>generating resource(s) to the customer's aggregated loads.    This definition ensures that these FTR's are only allocated to the Transmission Owners for their native load obligations and reduces the amount available to other market participants.    The result is an inefficient, illiquid FTR market.    Market participants that do not have specific generating resources are unable to obtain these FTR's and therefore unable to hedge against LMP's results.    The only solution to correct this situation is to make all FTR's available to all market participants via an auction process that is open to all.</w:t>
      </w:r>
    </w:p>
    <w:p>
      <w:pPr>
        <w:pStyle w:val="Normal"/>
        <w:bidi w:val="0"/>
        <w:spacing w:lineRule="atLeast" w:line="480"/>
        <w:jc w:val="start"/>
        <w:rPr>
          <w:rFonts w:ascii="Times New Roman" w:hAnsi="Times New Roman"/>
          <w:sz w:val="24"/>
        </w:rPr>
      </w:pPr>
      <w:r>
        <w:rPr>
          <w:rFonts w:ascii="Times New Roman" w:hAnsi="Times New Roman"/>
          <w:sz w:val="24"/>
        </w:rPr>
        <w:tab/>
        <w:t>FERC should move in a direction to correct market problems and not treat the symptoms these problems cause on a piecemeal basis.    FERC should immediately act to eliminate the native load provision of the FTR allocation process and thereby ensuring a market that is open.</w:t>
      </w:r>
    </w:p>
    <w:p>
      <w:pPr>
        <w:pStyle w:val="Normal"/>
        <w:bidi w:val="0"/>
        <w:spacing w:lineRule="atLeast" w:line="480"/>
        <w:jc w:val="start"/>
        <w:rPr>
          <w:rFonts w:ascii="Times New Roman" w:hAnsi="Times New Roman"/>
          <w:sz w:val="24"/>
        </w:rPr>
      </w:pPr>
      <w:r>
        <w:rPr>
          <w:rFonts w:ascii="Times New Roman" w:hAnsi="Times New Roman"/>
          <w:sz w:val="24"/>
        </w:rPr>
        <w:tab/>
        <w:t>A true market mechanism for congestion management needs to have several attributes that PJM-style LMP lacks.    First and foremost is a forward market that produces continuous forward price visibility.    Nearly every market is informed by a process of continuous trading, pursuant to which prices to sellers and buyers are established for the delivery of future goods or services, and which extend forward by months and even years.    In contrast, LMP assumes that all market dynamics can be captured in a simplistic linear relationship, optimized over a temporal horizon that is daily at longest.    That is way too short to inform operating and investment decisions requiring a longer time horizon.</w:t>
      </w:r>
    </w:p>
    <w:p>
      <w:pPr>
        <w:pStyle w:val="Normal"/>
        <w:bidi w:val="0"/>
        <w:spacing w:lineRule="atLeast" w:line="480"/>
        <w:jc w:val="start"/>
        <w:rPr>
          <w:rFonts w:ascii="Times New Roman" w:hAnsi="Times New Roman"/>
          <w:sz w:val="24"/>
        </w:rPr>
      </w:pPr>
      <w:r>
        <w:rPr>
          <w:rFonts w:ascii="Times New Roman" w:hAnsi="Times New Roman"/>
          <w:sz w:val="24"/>
        </w:rPr>
        <w:tab/>
        <w:t>In order to have a forward market, PJM needs to create some form of property right that can be continuously traded, at prices known in advance, over horizons extending forward for months, if not years.    There are many models for such property rights.</w:t>
      </w:r>
      <w:r>
        <w:rPr>
          <w:rStyle w:val="FootnoteReference"/>
          <w:rFonts w:ascii="Times New Roman" w:hAnsi="Times New Roman"/>
          <w:sz w:val="24"/>
          <w:vertAlign w:val="superscript"/>
        </w:rPr>
        <w:footnoteReference w:id="5"/>
      </w:r>
      <w:r>
        <w:rPr>
          <w:rFonts w:ascii="Times New Roman" w:hAnsi="Times New Roman"/>
          <w:sz w:val="24"/>
        </w:rPr>
        <w:t>    The Commission should direct PJM to develop transmission property rights that will support a forward market and to propose in its January 15, 2001, filing a plan for the recognition, competitive allocation, and trading of such rights.</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b/>
          <w:sz w:val="24"/>
        </w:rPr>
        <w:tab/>
      </w:r>
      <w:r>
        <w:rPr>
          <w:rFonts w:ascii="Times New Roman" w:hAnsi="Times New Roman"/>
          <w:b/>
          <w:i/>
          <w:sz w:val="24"/>
        </w:rPr>
        <w:t>C</w:t>
      </w:r>
      <w:r>
        <w:rPr>
          <w:rFonts w:ascii="Times New Roman" w:hAnsi="Times New Roman"/>
          <w:i/>
          <w:sz w:val="24"/>
        </w:rPr>
        <w:t>.</w:t>
        <w:tab/>
      </w:r>
      <w:r>
        <w:rPr>
          <w:rFonts w:ascii="Times New Roman" w:hAnsi="Times New Roman"/>
          <w:b/>
          <w:i/>
          <w:sz w:val="24"/>
        </w:rPr>
        <w:t>PJM Is Not Regionally Well Coordinated with Its Neighbors &amp; Fails to Propose a Schedule for Becoming So</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PJM acknowledges in the October 11 filing that it has only achieved coordination with its neighbor to the west, Allegheny Power.    Merely being "committed" to coordinate with its other neighbors, with whom PJM is highly interconnected, </w:t>
      </w:r>
      <w:r>
        <w:rPr>
          <w:rFonts w:ascii="Times New Roman" w:hAnsi="Times New Roman"/>
          <w:i/>
          <w:sz w:val="24"/>
        </w:rPr>
        <w:t xml:space="preserve">Trans.    Ltr. </w:t>
      </w:r>
      <w:r>
        <w:rPr>
          <w:rFonts w:ascii="Times New Roman" w:hAnsi="Times New Roman"/>
          <w:sz w:val="24"/>
        </w:rPr>
        <w:t>at 57, is not sufficient for an RTO.    We recognize that PJM cannot unilaterally resolve this lack of coordination with its northerly neighbors and that the failure to coordinate is as much the fault of those neighbors as it is the fault of PJM.    For this reason, PJM, together with the New York ISO and ISO New England should be directed to present a plan in their January 15, 2000, filings for the coordination of their three ISOs, possibly in the form of a single RTO, by a date certain.</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8"/>
        </w:rPr>
      </w:pPr>
      <w:r>
        <w:rPr>
          <w:rFonts w:ascii="Times New Roman" w:hAnsi="Times New Roman"/>
          <w:b/>
          <w:sz w:val="28"/>
        </w:rPr>
        <w:t>III.</w:t>
      </w:r>
    </w:p>
    <w:p>
      <w:pPr>
        <w:pStyle w:val="Normal"/>
        <w:bidi w:val="0"/>
        <w:jc w:val="center"/>
        <w:rPr>
          <w:rFonts w:ascii="Times New Roman" w:hAnsi="Times New Roman"/>
          <w:b/>
          <w:sz w:val="28"/>
        </w:rPr>
      </w:pPr>
      <w:r>
        <w:rPr>
          <w:rFonts w:ascii="Times New Roman" w:hAnsi="Times New Roman"/>
          <w:b/>
          <w:sz w:val="28"/>
        </w:rPr>
        <w:t xml:space="preserve">FURTHER COMMENTS ON </w:t>
      </w:r>
    </w:p>
    <w:p>
      <w:pPr>
        <w:pStyle w:val="Normal"/>
        <w:bidi w:val="0"/>
        <w:jc w:val="center"/>
        <w:rPr>
          <w:rFonts w:ascii="Times New Roman" w:hAnsi="Times New Roman"/>
          <w:sz w:val="24"/>
        </w:rPr>
      </w:pPr>
      <w:r>
        <w:rPr>
          <w:rFonts w:ascii="Times New Roman" w:hAnsi="Times New Roman"/>
          <w:b/>
          <w:sz w:val="28"/>
        </w:rPr>
        <w:t>TRANSMISSION OWNERS' RATE PROPOSAL</w:t>
      </w:r>
      <w:r>
        <w:rPr>
          <w:rFonts w:ascii="Times New Roman" w:hAnsi="Times New Roman"/>
          <w:sz w:val="28"/>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As part of the RTO compliance filing, the PJM Transmission Owners put forward what they call a Transmission Enhancement and Innovative Rate Proposal.    Pursuant to this proposal, the Transmission Owners set out a Transmission Enhancement Plan pursuant to which they will jointly undertake and finance grid additions of 230 kV and higher or will individually do so at the request of transmission customers provided that the customer is willing to compensate the individual Transmission Owner for its expense.    </w:t>
      </w:r>
      <w:r>
        <w:rPr>
          <w:rFonts w:ascii="Times New Roman" w:hAnsi="Times New Roman"/>
          <w:i/>
          <w:sz w:val="24"/>
        </w:rPr>
        <w:t xml:space="preserve">Trans.    Ltr. </w:t>
      </w:r>
      <w:r>
        <w:rPr>
          <w:rFonts w:ascii="Times New Roman" w:hAnsi="Times New Roman"/>
          <w:sz w:val="24"/>
        </w:rPr>
        <w:t xml:space="preserve">at 70-79.    The Transmission Owners also "request[] that the Commission specifically endorse the concept that risk-adjusted rates of return are appropriate inducements for new transmission investment within PJM and that the PJM Transmission Owners will be permitted to seek such rates of return for new transmission investments in future filings."    </w:t>
      </w:r>
      <w:r>
        <w:rPr>
          <w:rFonts w:ascii="Times New Roman" w:hAnsi="Times New Roman"/>
          <w:i/>
          <w:sz w:val="24"/>
        </w:rPr>
        <w:t>Id.</w:t>
      </w:r>
      <w:r>
        <w:rPr>
          <w:rFonts w:ascii="Times New Roman" w:hAnsi="Times New Roman"/>
          <w:sz w:val="24"/>
        </w:rPr>
        <w:t xml:space="preserve"> at 90.      </w:t>
      </w:r>
    </w:p>
    <w:p>
      <w:pPr>
        <w:pStyle w:val="Normal"/>
        <w:bidi w:val="0"/>
        <w:spacing w:lineRule="atLeast" w:line="480"/>
        <w:jc w:val="start"/>
        <w:rPr>
          <w:rFonts w:ascii="Times New Roman" w:hAnsi="Times New Roman"/>
          <w:sz w:val="24"/>
        </w:rPr>
      </w:pPr>
      <w:r>
        <w:rPr>
          <w:rFonts w:ascii="Times New Roman" w:hAnsi="Times New Roman"/>
          <w:sz w:val="24"/>
        </w:rPr>
        <w:tab/>
        <w:t>As regards the Enhancement Plan, the Transmission Owners' treatment of expansions or upgrades that are financed by transmission customers should be clarified.    EPMI is fully supportive of giving customers the right to finance expansions and upgrades.    What needs to be made clear are rights of a customer who elects to do so.    That customer should receive the right to use the capacity that its investment creates and be paid for its use by others.    The customer should also be awarded any FTRs that are created by its investments.</w:t>
      </w:r>
    </w:p>
    <w:p>
      <w:pPr>
        <w:pStyle w:val="Normal"/>
        <w:bidi w:val="0"/>
        <w:spacing w:lineRule="atLeast" w:line="480"/>
        <w:jc w:val="start"/>
        <w:rPr>
          <w:rFonts w:ascii="Times New Roman" w:hAnsi="Times New Roman"/>
          <w:sz w:val="24"/>
        </w:rPr>
      </w:pPr>
      <w:r>
        <w:rPr>
          <w:rFonts w:ascii="Times New Roman" w:hAnsi="Times New Roman"/>
          <w:sz w:val="24"/>
        </w:rPr>
        <w:tab/>
        <w:t>With respect to the innovative rate proposal, PJM is simply placing the Commission on notice that the Transmission Owners' plan to later seek individual risk-adjusted returns on their equity invested in the PJM transmission system.    In general, rewarding an RTO for undertaking needed investments and for maximizing throughput on the transmission system are appropriate.    PJM, however, is unique in this respect and that uniqueness should be reflected in how the Commission responds to the instant filing and the future rate filings of the Transmission Owners.    That uniqueness is LMP.    While the Transmission Owners currently shoulder and will continue to shoulder investment risk — the risk that the market will attach less value to their investment than they anticipated — under LMP, they shift all delivery risk to the transmission system's customers.    In this respect, the risk that the Transmission Owners confront under LMP contrasts starkly with the risk of a transmission provider that sells a firm transmission product at a fixed price that is known in advance.    Under this traditional structure, if the cost of delivering power exceeds the fixed price, then the transmission provider is at risk and cannot after-the-fact set the price to recover costs already incurred, as in LMP.    For this reason, the PJM Transmission Owners are not entitled to the same equity return opportunities as are transmission providers who assume delivery risk.    In fact, the equity return for a transmission owner under an LMP system should be adjusted downward to reflect the transfer of delivery risk away from the owners and on to the transmission customer.</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Style w:val="Normal"/>
        <w:bidi w:val="0"/>
        <w:jc w:val="start"/>
        <w:rPr>
          <w:rFonts w:ascii="Times New Roman" w:hAnsi="Times New Roman"/>
          <w:sz w:val="28"/>
        </w:rPr>
      </w:pPr>
      <w:r>
        <w:rPr>
          <w:rFonts w:ascii="Times New Roman" w:hAnsi="Times New Roman"/>
          <w:sz w:val="28"/>
        </w:rPr>
      </w:r>
      <w:r>
        <w:br w:type="page"/>
      </w:r>
    </w:p>
    <w:p>
      <w:pPr>
        <w:pStyle w:val="Normal"/>
        <w:bidi w:val="0"/>
        <w:jc w:val="center"/>
        <w:rPr>
          <w:rFonts w:ascii="Times New Roman" w:hAnsi="Times New Roman"/>
          <w:b/>
          <w:sz w:val="28"/>
        </w:rPr>
      </w:pPr>
      <w:r>
        <w:rPr>
          <w:rFonts w:ascii="Times New Roman" w:hAnsi="Times New Roman"/>
          <w:b/>
          <w:sz w:val="28"/>
        </w:rPr>
        <w:t>IV.</w:t>
      </w:r>
    </w:p>
    <w:p>
      <w:pPr>
        <w:pStyle w:val="Normal"/>
        <w:bidi w:val="0"/>
        <w:jc w:val="center"/>
        <w:rPr>
          <w:rFonts w:ascii="Times New Roman" w:hAnsi="Times New Roman"/>
          <w:b/>
          <w:sz w:val="24"/>
        </w:rPr>
      </w:pPr>
      <w:r>
        <w:rPr>
          <w:rFonts w:ascii="Times New Roman" w:hAnsi="Times New Roman"/>
          <w:b/>
          <w:sz w:val="28"/>
        </w:rPr>
        <w:t>CONCLUSION</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For the foregoing reasons, EPMI asks the Commission to grant its protest and direct PJM to refile on January 15, 2001, an RTO proposal that complies with Order No. 2000, and which is regionally coordinated with PJM's neighbors, possibly in a single RTO.</w:t>
      </w:r>
    </w:p>
    <w:p>
      <w:pPr>
        <w:pStyle w:val="Normal"/>
        <w:bidi w:val="0"/>
        <w:jc w:val="start"/>
        <w:rPr>
          <w:rFonts w:ascii="Times New Roman" w:hAnsi="Times New Roman"/>
          <w:sz w:val="24"/>
        </w:rPr>
      </w:pPr>
      <w:r>
        <w:rPr>
          <w:rFonts w:ascii="Times New Roman" w:hAnsi="Times New Roman"/>
          <w:sz w:val="24"/>
        </w:rPr>
        <w:tab/>
        <w:tab/>
        <w:tab/>
        <w:tab/>
        <w:tab/>
        <w:tab/>
        <w:t>Respectfully submitted,</w:t>
      </w:r>
    </w:p>
    <w:p>
      <w:pPr>
        <w:pStyle w:val="Normal"/>
        <w:bidi w:val="0"/>
        <w:jc w:val="start"/>
        <w:rPr>
          <w:rFonts w:ascii="Times New Roman" w:hAnsi="Times New Roman"/>
          <w:sz w:val="24"/>
        </w:rPr>
      </w:pP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ab/>
        <w:tab/>
        <w:tab/>
        <w:tab/>
      </w:r>
    </w:p>
    <w:p>
      <w:pPr>
        <w:pStyle w:val="Normal"/>
        <w:bidi w:val="0"/>
        <w:jc w:val="start"/>
        <w:rPr>
          <w:rFonts w:ascii="Times New Roman" w:hAnsi="Times New Roman"/>
          <w:sz w:val="24"/>
        </w:rPr>
      </w:pPr>
      <w:r>
        <w:rPr>
          <w:rFonts w:ascii="Times New Roman" w:hAnsi="Times New Roman"/>
          <w:sz w:val="24"/>
        </w:rPr>
        <w:tab/>
        <w:tab/>
        <w:tab/>
        <w:tab/>
        <w:tab/>
        <w:tab/>
        <w:t>________________________________</w:t>
        <w:tab/>
      </w:r>
    </w:p>
    <w:p>
      <w:pPr>
        <w:pStyle w:val="Normal"/>
        <w:bidi w:val="0"/>
        <w:jc w:val="start"/>
        <w:rPr>
          <w:rFonts w:ascii="Times New Roman" w:hAnsi="Times New Roman"/>
          <w:sz w:val="24"/>
        </w:rPr>
      </w:pPr>
      <w:r>
        <w:rPr>
          <w:rFonts w:ascii="Times New Roman" w:hAnsi="Times New Roman"/>
          <w:sz w:val="24"/>
        </w:rPr>
        <w:tab/>
        <w:tab/>
        <w:tab/>
        <w:tab/>
        <w:tab/>
        <w:tab/>
        <w:t>Jeffrey D. Watkiss</w:t>
      </w:r>
    </w:p>
    <w:p>
      <w:pPr>
        <w:pStyle w:val="Normal"/>
        <w:bidi w:val="0"/>
        <w:jc w:val="start"/>
        <w:rPr>
          <w:rFonts w:ascii="Times New Roman" w:hAnsi="Times New Roman"/>
          <w:sz w:val="24"/>
        </w:rPr>
      </w:pPr>
      <w:r>
        <w:rPr>
          <w:rFonts w:ascii="Times New Roman" w:hAnsi="Times New Roman"/>
          <w:sz w:val="24"/>
        </w:rPr>
        <w:tab/>
        <w:tab/>
        <w:tab/>
        <w:tab/>
        <w:tab/>
        <w:tab/>
        <w:t>Andrea M. Settanni</w:t>
      </w:r>
    </w:p>
    <w:p>
      <w:pPr>
        <w:pStyle w:val="Normal"/>
        <w:bidi w:val="0"/>
        <w:jc w:val="start"/>
        <w:rPr>
          <w:rFonts w:ascii="Times New Roman" w:hAnsi="Times New Roman"/>
          <w:sz w:val="24"/>
        </w:rPr>
      </w:pPr>
      <w:r>
        <w:rPr>
          <w:rFonts w:ascii="Times New Roman" w:hAnsi="Times New Roman"/>
          <w:sz w:val="24"/>
        </w:rPr>
        <w:tab/>
        <w:tab/>
        <w:tab/>
        <w:tab/>
        <w:tab/>
        <w:tab/>
        <w:t>Bracewell &amp; Patterson, L.L.P.</w:t>
      </w:r>
    </w:p>
    <w:p>
      <w:pPr>
        <w:pStyle w:val="Normal"/>
        <w:bidi w:val="0"/>
        <w:jc w:val="start"/>
        <w:rPr>
          <w:rFonts w:ascii="Times New Roman" w:hAnsi="Times New Roman"/>
          <w:sz w:val="24"/>
        </w:rPr>
      </w:pPr>
      <w:r>
        <w:rPr>
          <w:rFonts w:ascii="Times New Roman" w:hAnsi="Times New Roman"/>
          <w:sz w:val="24"/>
        </w:rPr>
        <w:tab/>
        <w:tab/>
        <w:tab/>
        <w:tab/>
        <w:tab/>
        <w:tab/>
        <w:t>2000 K Street, N.W.</w:t>
      </w:r>
    </w:p>
    <w:p>
      <w:pPr>
        <w:pStyle w:val="Normal"/>
        <w:bidi w:val="0"/>
        <w:jc w:val="start"/>
        <w:rPr>
          <w:rFonts w:ascii="Times New Roman" w:hAnsi="Times New Roman"/>
          <w:sz w:val="24"/>
        </w:rPr>
      </w:pPr>
      <w:r>
        <w:rPr>
          <w:rFonts w:ascii="Times New Roman" w:hAnsi="Times New Roman"/>
          <w:sz w:val="24"/>
        </w:rPr>
        <w:tab/>
        <w:tab/>
        <w:tab/>
        <w:tab/>
        <w:tab/>
        <w:tab/>
        <w:t>Suite 500</w:t>
      </w:r>
    </w:p>
    <w:p>
      <w:pPr>
        <w:pStyle w:val="Normal"/>
        <w:bidi w:val="0"/>
        <w:jc w:val="start"/>
        <w:rPr>
          <w:rFonts w:ascii="Times New Roman" w:hAnsi="Times New Roman"/>
          <w:sz w:val="24"/>
        </w:rPr>
      </w:pPr>
      <w:r>
        <w:rPr>
          <w:rFonts w:ascii="Times New Roman" w:hAnsi="Times New Roman"/>
          <w:sz w:val="24"/>
        </w:rPr>
        <w:tab/>
        <w:tab/>
        <w:tab/>
        <w:tab/>
        <w:tab/>
        <w:tab/>
        <w:t>Washington, DC      20006-1872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Counsel for Enron Power Marketing,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5"/>
          <w:headerReference w:type="default" r:id="rId6"/>
          <w:headerReference w:type="first" r:id="rId7"/>
          <w:footnotePr>
            <w:numFmt w:val="decimal"/>
            <w:numRestart w:val="eachSect"/>
          </w:footnotePr>
          <w:type w:val="nextPage"/>
          <w:pgSz w:w="12240" w:h="15840"/>
          <w:pgMar w:left="1440" w:right="1440" w:gutter="0" w:header="1440" w:top="1497" w:footer="0" w:bottom="1440"/>
          <w:pgNumType w:fmt="decimal"/>
          <w:formProt w:val="false"/>
          <w:textDirection w:val="lrTb"/>
          <w:docGrid w:type="default" w:linePitch="600" w:charSpace="40960"/>
        </w:sectPr>
        <w:pStyle w:val="Normal"/>
        <w:bidi w:val="0"/>
        <w:jc w:val="start"/>
        <w:rPr>
          <w:rFonts w:ascii="Times New Roman" w:hAnsi="Times New Roman"/>
          <w:sz w:val="24"/>
        </w:rPr>
      </w:pPr>
      <w:r>
        <w:rPr>
          <w:rFonts w:ascii="Times New Roman" w:hAnsi="Times New Roman"/>
          <w:sz w:val="24"/>
        </w:rPr>
        <w:t>November 20, 2000</w:t>
      </w:r>
      <w:r>
        <w:br w:type="page"/>
      </w:r>
    </w:p>
    <w:p>
      <w:pPr>
        <w:pStyle w:val="Normal"/>
        <w:bidi w:val="0"/>
        <w:jc w:val="start"/>
        <w:rPr>
          <w:sz w:val="24"/>
        </w:rPr>
      </w:pPr>
      <w:r>
        <w:rPr>
          <w:sz w:val="24"/>
        </w:rPr>
      </w:r>
    </w:p>
    <w:p>
      <w:pPr>
        <w:sectPr>
          <w:headerReference w:type="even" r:id="rId8"/>
          <w:headerReference w:type="default" r:id="rId9"/>
          <w:headerReference w:type="first" r:id="rId10"/>
          <w:footnotePr>
            <w:numFmt w:val="decimal"/>
            <w:numRestart w:val="eachSect"/>
          </w:footnotePr>
          <w:type w:val="nextPage"/>
          <w:pgSz w:w="12240" w:h="15840"/>
          <w:pgMar w:left="1440" w:right="1440" w:gutter="0" w:header="1440" w:top="1497" w:footer="0" w:bottom="475"/>
          <w:pgNumType w:fmt="decimal"/>
          <w:formProt w:val="false"/>
          <w:textDirection w:val="lrTb"/>
          <w:docGrid w:type="default" w:linePitch="600" w:charSpace="40960"/>
        </w:sectPr>
      </w:pPr>
    </w:p>
    <w:p>
      <w:pPr>
        <w:pStyle w:val="Normal"/>
        <w:bidi w:val="0"/>
        <w:jc w:val="center"/>
        <w:rPr>
          <w:rFonts w:ascii="Times New Roman" w:hAnsi="Times New Roman"/>
          <w:b/>
          <w:sz w:val="28"/>
        </w:rPr>
      </w:pPr>
      <w:r>
        <w:rPr>
          <w:rFonts w:ascii="Times New Roman" w:hAnsi="Times New Roman"/>
          <w:b/>
          <w:sz w:val="28"/>
        </w:rPr>
        <w:t>UNITED STATES OF AMERICA</w:t>
      </w:r>
    </w:p>
    <w:p>
      <w:pPr>
        <w:pStyle w:val="Normal"/>
        <w:bidi w:val="0"/>
        <w:jc w:val="center"/>
        <w:rPr>
          <w:rFonts w:ascii="Times New Roman" w:hAnsi="Times New Roman"/>
          <w:b/>
          <w:sz w:val="28"/>
        </w:rPr>
      </w:pPr>
      <w:r>
        <w:rPr>
          <w:rFonts w:ascii="Times New Roman" w:hAnsi="Times New Roman"/>
          <w:b/>
          <w:sz w:val="28"/>
        </w:rPr>
        <w:t>BEFORE THE</w:t>
      </w:r>
    </w:p>
    <w:p>
      <w:pPr>
        <w:pStyle w:val="Normal"/>
        <w:bidi w:val="0"/>
        <w:jc w:val="center"/>
        <w:rPr>
          <w:rFonts w:ascii="Times New Roman" w:hAnsi="Times New Roman"/>
          <w:sz w:val="24"/>
        </w:rPr>
      </w:pPr>
      <w:r>
        <w:rPr>
          <w:rFonts w:ascii="Times New Roman" w:hAnsi="Times New Roman"/>
          <w:b/>
          <w:sz w:val="28"/>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PJM Interconnection, L.L.C.</w:t>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Allegheny Electric Cooperative, Inc.</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Atlantic City electric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Baltimore Gas &amp; electric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Delmarva Power &amp; Light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Jersey Central Power &amp; Light Company</w:t>
        <w:tab/>
        <w:t>)</w:t>
        <w:tab/>
        <w:t>Docket No. RT01-2-000</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Metropolitan Edison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PECO Energy Company</w:t>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Pennsylvania Electric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PPL Electric Utilities Corporation</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Potomac Electric Power Company</w:t>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Public Service Electric &amp; Gas Company</w:t>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UGI Utilities Inc.</w:t>
        <w:tab/>
        <w:tab/>
        <w:tab/>
        <w:tab/>
        <w:t>)</w:t>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CERTIFICATE OF SERVICE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Dated at Washington, D.C., this 20</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ab/>
        <w:t>Andrea M. Settanni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sz w:val="24"/>
        </w:rPr>
      </w:pPr>
      <w:r>
        <w:rPr>
          <w:rFonts w:ascii="Times New Roman" w:hAnsi="Times New Roman"/>
          <w:sz w:val="16"/>
        </w:rPr>
        <w:t>133845.2</w:t>
      </w:r>
    </w:p>
    <w:sectPr>
      <w:footnotePr>
        <w:numFmt w:val="decimal"/>
        <w:numRestart w:val="eachSect"/>
      </w:footnotePr>
      <w:type w:val="continuous"/>
      <w:pgSz w:w="12240" w:h="15840"/>
      <w:pgMar w:left="1440" w:right="1440" w:gutter="0" w:header="1440" w:top="1497" w:footer="0" w:bottom="475"/>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Regional Transmission Organizations</w:t>
      </w:r>
      <w:r>
        <w:rPr>
          <w:rFonts w:ascii="Times New Roman" w:hAnsi="Times New Roman"/>
          <w:sz w:val="22"/>
        </w:rPr>
        <w:t xml:space="preserve">, Order No. 2000, [1996 - 2000 Regs. Preambles] III F.E.R.C. Stats. &amp; Regs. ¶ 31,089 (2000) [hereinafter cited as </w:t>
      </w:r>
      <w:r>
        <w:rPr>
          <w:rFonts w:ascii="Times New Roman" w:hAnsi="Times New Roman"/>
          <w:i/>
          <w:sz w:val="22"/>
        </w:rPr>
        <w:t>Order No. 2000</w:t>
      </w:r>
      <w:r>
        <w:rPr>
          <w:rFonts w:ascii="Times New Roman" w:hAnsi="Times New Roman"/>
          <w:sz w:val="22"/>
        </w:rPr>
        <w:t xml:space="preserve">], </w:t>
      </w:r>
      <w:r>
        <w:rPr>
          <w:rFonts w:ascii="Times New Roman" w:hAnsi="Times New Roman"/>
          <w:i/>
          <w:sz w:val="22"/>
        </w:rPr>
        <w:t>order on reh'g</w:t>
      </w:r>
      <w:r>
        <w:rPr>
          <w:rFonts w:ascii="Times New Roman" w:hAnsi="Times New Roman"/>
          <w:sz w:val="22"/>
        </w:rPr>
        <w:t xml:space="preserve">, Order No. 2000-A, III F.E.R.C. Stats. &amp; Regs. ¶ 31,092 (2000), </w:t>
      </w:r>
      <w:r>
        <w:rPr>
          <w:rFonts w:ascii="Times New Roman" w:hAnsi="Times New Roman"/>
          <w:i/>
          <w:sz w:val="22"/>
        </w:rPr>
        <w:t>appeal docketed sub nom. Public Utility District No. 1 of Snohomish County, Washington v. FERC</w:t>
      </w:r>
      <w:r>
        <w:rPr>
          <w:rFonts w:ascii="Times New Roman" w:hAnsi="Times New Roman"/>
          <w:sz w:val="22"/>
        </w:rPr>
        <w:t xml:space="preserve">, Nos. 00-1174, </w:t>
      </w:r>
      <w:r>
        <w:rPr>
          <w:rFonts w:ascii="Times New Roman" w:hAnsi="Times New Roman"/>
          <w:i/>
          <w:sz w:val="22"/>
        </w:rPr>
        <w:t>et al</w:t>
      </w:r>
      <w:r>
        <w:rPr>
          <w:rFonts w:ascii="Times New Roman" w:hAnsi="Times New Roman"/>
          <w:sz w:val="22"/>
        </w:rPr>
        <w:t>., (D.C. Cir. April 24, 2000).</w:t>
      </w:r>
    </w:p>
  </w:footnote>
  <w:footnote w:id="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Promoting Wholesale Competition Through Open Access Non-Discriminatory Transmission Services by Public Utilities; Recovery of Stranded Costs by Public Utilities and Transmitting Utilities</w:t>
      </w:r>
      <w:r>
        <w:rPr>
          <w:rFonts w:ascii="Times New Roman" w:hAnsi="Times New Roman"/>
          <w:sz w:val="22"/>
        </w:rPr>
        <w:t xml:space="preserve">, Order No. 888, 61 Fed. Reg. 21,540 (May 10, 1996), [1991-96 Reg. Preambles] F.E.R.C. Stats. &amp; Regs. ¶ 31,036 (1996), </w:t>
      </w:r>
      <w:r>
        <w:rPr>
          <w:rFonts w:ascii="Times New Roman" w:hAnsi="Times New Roman"/>
          <w:i/>
          <w:sz w:val="22"/>
        </w:rPr>
        <w:t>clarified</w:t>
      </w:r>
      <w:r>
        <w:rPr>
          <w:rFonts w:ascii="Times New Roman" w:hAnsi="Times New Roman"/>
          <w:sz w:val="22"/>
        </w:rPr>
        <w:t xml:space="preserve">, 76 F.E.R.C. ¶¶ 61,009, 61,347 (1996), </w:t>
      </w:r>
      <w:r>
        <w:rPr>
          <w:rFonts w:ascii="Times New Roman" w:hAnsi="Times New Roman"/>
          <w:i/>
          <w:sz w:val="22"/>
        </w:rPr>
        <w:t>order on reh'g</w:t>
      </w:r>
      <w:r>
        <w:rPr>
          <w:rFonts w:ascii="Times New Roman" w:hAnsi="Times New Roman"/>
          <w:sz w:val="22"/>
        </w:rPr>
        <w:t xml:space="preserve">, Order No. 888-A, 62 Fed. Reg. 12,274 (March 14, 1997), III F.E.R.C. Stats. &amp; Regs. ¶ 31,048 (1997), </w:t>
      </w:r>
      <w:r>
        <w:rPr>
          <w:rFonts w:ascii="Times New Roman" w:hAnsi="Times New Roman"/>
          <w:i/>
          <w:sz w:val="22"/>
        </w:rPr>
        <w:t>order on reh'g</w:t>
      </w:r>
      <w:r>
        <w:rPr>
          <w:rFonts w:ascii="Times New Roman" w:hAnsi="Times New Roman"/>
          <w:sz w:val="22"/>
        </w:rPr>
        <w:t xml:space="preserve">, Order No. 888-B, 62 Fed. Reg. 64,688 (Dec. 9, 1997), 81 F.E.R.C. ¶ 61,248 (1997), </w:t>
      </w:r>
      <w:r>
        <w:rPr>
          <w:rFonts w:ascii="Times New Roman" w:hAnsi="Times New Roman"/>
          <w:i/>
          <w:sz w:val="22"/>
        </w:rPr>
        <w:t>aff'd and remanded sub nom. Transmission Access Policy Study Group ("TAPS") v. FERC</w:t>
      </w:r>
      <w:r>
        <w:rPr>
          <w:rFonts w:ascii="Times New Roman" w:hAnsi="Times New Roman"/>
          <w:sz w:val="22"/>
        </w:rPr>
        <w:t xml:space="preserve">, 225 F.3d 667 (D.C. Cir. 2000), </w:t>
      </w:r>
      <w:r>
        <w:rPr>
          <w:rFonts w:ascii="Times New Roman" w:hAnsi="Times New Roman"/>
          <w:i/>
          <w:sz w:val="22"/>
        </w:rPr>
        <w:t>petition for cert. filed sub nom. People of the State of New York and Public Serv. Comm. of the State of New York v. FERC</w:t>
      </w:r>
      <w:r>
        <w:rPr>
          <w:rFonts w:ascii="Times New Roman" w:hAnsi="Times New Roman"/>
          <w:sz w:val="22"/>
        </w:rPr>
        <w:t>, 69 U.S.L.W. 3281 (U.S. Oct. 11, 2000) (No. 00-568).</w:t>
      </w:r>
    </w:p>
  </w:footnote>
  <w:footnote w:id="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 </w:t>
      </w:r>
      <w:r>
        <w:rPr>
          <w:rFonts w:ascii="Times New Roman" w:hAnsi="Times New Roman"/>
          <w:i/>
          <w:sz w:val="22"/>
        </w:rPr>
        <w:t>Open Access Same-Time Information System (Formerly Real-Time Information Networks) and Standards of Conduct</w:t>
      </w:r>
      <w:r>
        <w:rPr>
          <w:rFonts w:ascii="Times New Roman" w:hAnsi="Times New Roman"/>
          <w:sz w:val="22"/>
        </w:rPr>
        <w:t xml:space="preserve">, Order No. 889, 61 Fed. Reg. 21,737 (May 10, 1996), [1991-96 Regs. Preambles] F.E.R.C. Stats. &amp; Regs. ¶ 31,035 (1996), </w:t>
      </w:r>
      <w:r>
        <w:rPr>
          <w:rFonts w:ascii="Times New Roman" w:hAnsi="Times New Roman"/>
          <w:i/>
          <w:sz w:val="22"/>
        </w:rPr>
        <w:t>order on reh’g</w:t>
      </w:r>
      <w:r>
        <w:rPr>
          <w:rFonts w:ascii="Times New Roman" w:hAnsi="Times New Roman"/>
          <w:sz w:val="22"/>
        </w:rPr>
        <w:t xml:space="preserve">, Order No. 889-A, 62 Fed. Reg. 12,484 (March 14, 1997), III F.E.R.C. Stats. &amp; Regs. ¶ 31,049 (1997), </w:t>
      </w:r>
      <w:r>
        <w:rPr>
          <w:rFonts w:ascii="Times New Roman" w:hAnsi="Times New Roman"/>
          <w:i/>
          <w:sz w:val="22"/>
        </w:rPr>
        <w:t>order denying reh’g</w:t>
      </w:r>
      <w:r>
        <w:rPr>
          <w:rFonts w:ascii="Times New Roman" w:hAnsi="Times New Roman"/>
          <w:sz w:val="22"/>
        </w:rPr>
        <w:t xml:space="preserve">, Order No. 889-B, 62 Fed. Reg. 64,715 (Dec. 9, 1997), 81 F.E.R.C. ¶ 61,253 (1997), </w:t>
      </w:r>
      <w:r>
        <w:rPr>
          <w:rFonts w:ascii="Times New Roman" w:hAnsi="Times New Roman"/>
          <w:i/>
          <w:sz w:val="22"/>
        </w:rPr>
        <w:t>aff'd and remanded sub nom.</w:t>
      </w:r>
      <w:r>
        <w:rPr>
          <w:rFonts w:ascii="Times New Roman" w:hAnsi="Times New Roman"/>
          <w:sz w:val="22"/>
        </w:rPr>
        <w:t xml:space="preserve"> </w:t>
      </w:r>
      <w:r>
        <w:rPr>
          <w:rFonts w:ascii="Times New Roman" w:hAnsi="Times New Roman"/>
          <w:i/>
          <w:sz w:val="22"/>
        </w:rPr>
        <w:t>Transmission Access Policy Study Group ("TAPS") v. FERC</w:t>
      </w:r>
      <w:r>
        <w:rPr>
          <w:rFonts w:ascii="Times New Roman" w:hAnsi="Times New Roman"/>
          <w:sz w:val="22"/>
        </w:rPr>
        <w:t xml:space="preserve">, 225 F.3d 667 (D.C. Cir. 2000), </w:t>
      </w:r>
      <w:r>
        <w:rPr>
          <w:rFonts w:ascii="Times New Roman" w:hAnsi="Times New Roman"/>
          <w:i/>
          <w:sz w:val="22"/>
        </w:rPr>
        <w:t>petition for cert. filed sub nom. People of the State of New York and Public Serv. Comm. of the State of New York v. FERC</w:t>
      </w:r>
      <w:r>
        <w:rPr>
          <w:rFonts w:ascii="Times New Roman" w:hAnsi="Times New Roman"/>
          <w:sz w:val="22"/>
        </w:rPr>
        <w:t>,  69 U.S.L.W. 3281 (U.S. Oct. 11, 2000) (No. 00-568).</w:t>
      </w:r>
    </w:p>
  </w:footnote>
  <w:footnote w:id="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For example, a particularly promising market mechanism is that described by Hung-po Chao, Stephen Peck, Shmuel Oren and Robert Wilson.  It combines (1) a forward market for energy and property rights in certain constraining points in a transmission system, referred to as flowgates, with (2) LMP for settling energy imbalances and inadvertence in real time.  </w:t>
      </w:r>
      <w:r>
        <w:rPr>
          <w:rFonts w:ascii="Times New Roman" w:hAnsi="Times New Roman"/>
          <w:i/>
          <w:sz w:val="22"/>
        </w:rPr>
        <w:t xml:space="preserve">See </w:t>
      </w:r>
      <w:r>
        <w:rPr>
          <w:rFonts w:ascii="Times New Roman" w:hAnsi="Times New Roman"/>
          <w:sz w:val="22"/>
        </w:rPr>
        <w:t xml:space="preserve">Hung-po Chao, Stephen Peck, Shmuel Oren and Robert Wilson, </w:t>
      </w:r>
      <w:r>
        <w:rPr>
          <w:rFonts w:ascii="Times New Roman" w:hAnsi="Times New Roman"/>
          <w:i/>
          <w:sz w:val="22"/>
        </w:rPr>
        <w:t>Flow-Based Transmission Rights and Congestion Management</w:t>
      </w:r>
      <w:r>
        <w:rPr>
          <w:rFonts w:ascii="Times New Roman" w:hAnsi="Times New Roman"/>
          <w:sz w:val="22"/>
        </w:rPr>
        <w:t>, 13 Elec.  J.  38 (Oct.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RT01-2-000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11</w:t>
    </w:r>
    <w:r>
      <w:rPr>
        <w:sz w:val="24"/>
        <w:rFonts w:ascii="Times New" w:hAnsi="Times New"/>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RT01-2-000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12</w:t>
    </w:r>
    <w:r>
      <w:rPr>
        <w:sz w:val="24"/>
        <w:rFonts w:ascii="Times New" w:hAnsi="Times New"/>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RT01-2-000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12</w:t>
    </w:r>
    <w:r>
      <w:rPr>
        <w:sz w:val="24"/>
        <w:rFonts w:ascii="Times New" w:hAnsi="Times New"/>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RT01-2-000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13</w:t>
    </w:r>
    <w:r>
      <w:rPr>
        <w:sz w:val="24"/>
        <w:rFonts w:ascii="Times New" w:hAnsi="Times New"/>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Intervention and Protest</w:t>
    </w:r>
  </w:p>
  <w:p>
    <w:pPr>
      <w:pStyle w:val="Normal"/>
      <w:bidi w:val="0"/>
      <w:spacing w:lineRule="atLeast" w:line="0"/>
      <w:jc w:val="both"/>
      <w:rPr>
        <w:rFonts w:ascii="Times New" w:hAnsi="Times New"/>
        <w:sz w:val="24"/>
      </w:rPr>
    </w:pPr>
    <w:r>
      <w:rPr>
        <w:rFonts w:ascii="Times New" w:hAnsi="Times New"/>
        <w:sz w:val="24"/>
      </w:rPr>
      <w:t>Docket No. RT01-2-000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13</w:t>
    </w:r>
    <w:r>
      <w:rPr>
        <w:sz w:val="24"/>
        <w:rFonts w:ascii="Times New" w:hAnsi="Times New"/>
      </w:rPr>
      <w:fldChar w:fldCharType="end"/>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w:hAnsi="Courier" w:eastAsia="Times New" w:cs="Arial"/>
      <w:color w:val="auto"/>
      <w:kern w:val="2"/>
      <w:sz w:val="20"/>
      <w:szCs w:val="24"/>
      <w:lang w:val="en-CA" w:eastAsia="zh-CN" w:bidi="hi-IN"/>
    </w:rPr>
  </w:style>
  <w:style w:type="character" w:styleId="footnotetex">
    <w:name w:val="footnote tex"/>
    <w:qFormat/>
    <w:rPr>
      <w:rFonts w:ascii="Times New Roman" w:hAnsi="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4">
    <w:name w:val="1AutoList4"/>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4">
    <w:name w:val="2AutoList4"/>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4">
    <w:name w:val="3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3">
    <w:name w:val="2AutoList3"/>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2">
    <w:name w:val="12"/>
    <w:qFormat/>
    <w:pPr>
      <w:widowControl w:val="false"/>
      <w:tabs>
        <w:tab w:val="left" w:pos="720" w:leader="none"/>
      </w:tabs>
      <w:bidi w:val="0"/>
      <w:spacing w:lineRule="atLeast" w:line="0"/>
      <w:ind w:hanging="1440" w:start="720"/>
      <w:jc w:val="both"/>
    </w:pPr>
    <w:rPr>
      <w:rFonts w:ascii="Courier" w:hAnsi="Courier" w:eastAsia="Times New" w:cs="Arial"/>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Courier" w:hAnsi="Courier" w:eastAsia="Times New" w:cs="Arial"/>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Courier" w:hAnsi="Courier" w:eastAsia="Times New" w:cs="Arial"/>
      <w:color w:val="auto"/>
      <w:kern w:val="2"/>
      <w:sz w:val="24"/>
      <w:szCs w:val="24"/>
      <w:lang w:val="en-CA" w:eastAsia="zh-CN" w:bidi="hi-IN"/>
    </w:rPr>
  </w:style>
  <w:style w:type="paragraph" w:styleId="42">
    <w:name w:val="42"/>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Courier" w:hAnsi="Courier" w:eastAsia="Times New" w:cs="Arial"/>
      <w:color w:val="auto"/>
      <w:kern w:val="2"/>
      <w:sz w:val="24"/>
      <w:szCs w:val="24"/>
      <w:lang w:val="en-CA" w:eastAsia="zh-CN"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Courier" w:hAnsi="Courier" w:eastAsia="Times New" w:cs="Arial"/>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Courier" w:hAnsi="Courier" w:eastAsia="Times New" w:cs="Arial"/>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Courier" w:hAnsi="Courier" w:eastAsia="Times New" w:cs="Arial"/>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Courier" w:hAnsi="Courier" w:eastAsia="Times New" w:cs="Arial"/>
      <w:color w:val="auto"/>
      <w:kern w:val="2"/>
      <w:sz w:val="24"/>
      <w:szCs w:val="24"/>
      <w:lang w:val="en-CA" w:eastAsia="zh-CN" w:bidi="hi-IN"/>
    </w:rPr>
  </w:style>
  <w:style w:type="paragraph" w:styleId="1Kathy">
    <w:name w:val="1Kathy"/>
    <w:qFormat/>
    <w:pPr>
      <w:widowControl w:val="false"/>
      <w:bidi w:val="0"/>
    </w:pPr>
    <w:rPr>
      <w:rFonts w:ascii="Courier" w:hAnsi="Courier" w:eastAsia="Times New" w:cs="Arial"/>
      <w:color w:val="auto"/>
      <w:kern w:val="2"/>
      <w:sz w:val="24"/>
      <w:szCs w:val="24"/>
      <w:lang w:val="en-CA" w:eastAsia="zh-CN" w:bidi="hi-IN"/>
    </w:rPr>
  </w:style>
  <w:style w:type="paragraph" w:styleId="2Kathy">
    <w:name w:val="2Kathy"/>
    <w:qFormat/>
    <w:pPr>
      <w:widowControl w:val="false"/>
      <w:bidi w:val="0"/>
      <w:spacing w:lineRule="atLeast" w:line="0"/>
      <w:ind w:start="720"/>
      <w:jc w:val="both"/>
    </w:pPr>
    <w:rPr>
      <w:rFonts w:ascii="Courier" w:hAnsi="Courier" w:eastAsia="Times New" w:cs="Arial"/>
      <w:color w:val="auto"/>
      <w:kern w:val="2"/>
      <w:sz w:val="24"/>
      <w:szCs w:val="24"/>
      <w:lang w:val="en-CA" w:eastAsia="zh-CN" w:bidi="hi-IN"/>
    </w:rPr>
  </w:style>
  <w:style w:type="paragraph" w:styleId="3Kathy">
    <w:name w:val="3Kathy"/>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Kathy">
    <w:name w:val="4Kathy"/>
    <w:qFormat/>
    <w:pPr>
      <w:widowControl w:val="false"/>
      <w:bidi w:val="0"/>
      <w:spacing w:lineRule="atLeast" w:line="0"/>
      <w:ind w:start="2160"/>
      <w:jc w:val="both"/>
    </w:pPr>
    <w:rPr>
      <w:rFonts w:ascii="Courier" w:hAnsi="Courier" w:eastAsia="Times New" w:cs="Arial"/>
      <w:color w:val="auto"/>
      <w:kern w:val="2"/>
      <w:sz w:val="24"/>
      <w:szCs w:val="24"/>
      <w:lang w:val="en-CA" w:eastAsia="zh-CN" w:bidi="hi-IN"/>
    </w:rPr>
  </w:style>
  <w:style w:type="paragraph" w:styleId="5Kathy">
    <w:name w:val="5Kathy"/>
    <w:qFormat/>
    <w:pPr>
      <w:widowControl w:val="false"/>
      <w:bidi w:val="0"/>
      <w:spacing w:lineRule="atLeast" w:line="0"/>
      <w:ind w:start="2880"/>
      <w:jc w:val="both"/>
    </w:pPr>
    <w:rPr>
      <w:rFonts w:ascii="Courier" w:hAnsi="Courier" w:eastAsia="Times New" w:cs="Arial"/>
      <w:color w:val="auto"/>
      <w:kern w:val="2"/>
      <w:sz w:val="24"/>
      <w:szCs w:val="24"/>
      <w:lang w:val="en-CA" w:eastAsia="zh-CN" w:bidi="hi-IN"/>
    </w:rPr>
  </w:style>
  <w:style w:type="paragraph" w:styleId="6Kathy">
    <w:name w:val="6Kathy"/>
    <w:qFormat/>
    <w:pPr>
      <w:widowControl w:val="false"/>
      <w:bidi w:val="0"/>
      <w:spacing w:lineRule="atLeast" w:line="0"/>
      <w:ind w:start="3600"/>
      <w:jc w:val="both"/>
    </w:pPr>
    <w:rPr>
      <w:rFonts w:ascii="Courier" w:hAnsi="Courier" w:eastAsia="Times New" w:cs="Arial"/>
      <w:color w:val="auto"/>
      <w:kern w:val="2"/>
      <w:sz w:val="24"/>
      <w:szCs w:val="24"/>
      <w:lang w:val="en-CA" w:eastAsia="zh-CN" w:bidi="hi-IN"/>
    </w:rPr>
  </w:style>
  <w:style w:type="paragraph" w:styleId="7Kathy">
    <w:name w:val="7Kathy"/>
    <w:qFormat/>
    <w:pPr>
      <w:widowControl w:val="false"/>
      <w:bidi w:val="0"/>
      <w:spacing w:lineRule="atLeast" w:line="0"/>
      <w:ind w:start="4320"/>
      <w:jc w:val="both"/>
    </w:pPr>
    <w:rPr>
      <w:rFonts w:ascii="Courier" w:hAnsi="Courier" w:eastAsia="Times New" w:cs="Arial"/>
      <w:color w:val="auto"/>
      <w:kern w:val="2"/>
      <w:sz w:val="24"/>
      <w:szCs w:val="24"/>
      <w:lang w:val="en-CA" w:eastAsia="zh-CN" w:bidi="hi-IN"/>
    </w:rPr>
  </w:style>
  <w:style w:type="paragraph" w:styleId="8Kathy">
    <w:name w:val="8Kathy"/>
    <w:qFormat/>
    <w:pPr>
      <w:widowControl w:val="false"/>
      <w:bidi w:val="0"/>
      <w:spacing w:lineRule="atLeast" w:line="0"/>
      <w:ind w:start="5040"/>
      <w:jc w:val="both"/>
    </w:pPr>
    <w:rPr>
      <w:rFonts w:ascii="Courier" w:hAnsi="Courier" w:eastAsia="Times New" w:cs="Arial"/>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Courier" w:hAnsi="Courier" w:eastAsia="Times New"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Courier" w:hAnsi="Courier" w:eastAsia="Times New" w:cs="Arial"/>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Courier" w:hAnsi="Courier" w:eastAsia="Times New" w:cs="Arial"/>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Courier" w:hAnsi="Courier" w:eastAsia="Times New" w:cs="Arial"/>
      <w:color w:val="auto"/>
      <w:kern w:val="2"/>
      <w:sz w:val="24"/>
      <w:szCs w:val="24"/>
      <w:lang w:val="en-CA" w:eastAsia="zh-CN" w:bidi="hi-IN"/>
    </w:rPr>
  </w:style>
  <w:style w:type="paragraph" w:styleId="4Document">
    <w:name w:val="4Document"/>
    <w:qFormat/>
    <w:pPr>
      <w:widowControl w:val="false"/>
      <w:bidi w:val="0"/>
    </w:pPr>
    <w:rPr>
      <w:rFonts w:ascii="Courier" w:hAnsi="Courier" w:eastAsia="Times New" w:cs="Arial"/>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Courier" w:hAnsi="Courier" w:eastAsia="Times New" w:cs="Arial"/>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Courier" w:hAnsi="Courier" w:eastAsia="Times New" w:cs="Arial"/>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Courier" w:hAnsi="Courier" w:eastAsia="Times New" w:cs="Arial"/>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Courier" w:hAnsi="Courier" w:eastAsia="Times New" w:cs="Arial"/>
      <w:color w:val="auto"/>
      <w:kern w:val="2"/>
      <w:sz w:val="24"/>
      <w:szCs w:val="24"/>
      <w:lang w:val="en-CA" w:eastAsia="zh-CN" w:bidi="hi-IN"/>
    </w:rPr>
  </w:style>
  <w:style w:type="paragraph" w:styleId="KMCLhdFull">
    <w:name w:val="KMC Lhd Full"/>
    <w:qFormat/>
    <w:pPr>
      <w:widowControl w:val="false"/>
      <w:bidi w:val="0"/>
    </w:pPr>
    <w:rPr>
      <w:rFonts w:ascii="Courier" w:hAnsi="Courier" w:eastAsia="Times New" w:cs="Arial"/>
      <w:color w:val="auto"/>
      <w:kern w:val="2"/>
      <w:sz w:val="24"/>
      <w:szCs w:val="24"/>
      <w:lang w:val="en-CA" w:eastAsia="zh-CN" w:bidi="hi-IN"/>
    </w:rPr>
  </w:style>
  <w:style w:type="paragraph" w:styleId="KMSLhdFull">
    <w:name w:val="KMS Lhd Full"/>
    <w:qFormat/>
    <w:pPr>
      <w:widowControl w:val="false"/>
      <w:bidi w:val="0"/>
    </w:pPr>
    <w:rPr>
      <w:rFonts w:ascii="Courier" w:hAnsi="Courier" w:eastAsia="Times New" w:cs="Arial"/>
      <w:color w:val="auto"/>
      <w:kern w:val="2"/>
      <w:sz w:val="24"/>
      <w:szCs w:val="24"/>
      <w:lang w:val="en-CA" w:eastAsia="zh-CN" w:bidi="hi-IN"/>
    </w:rPr>
  </w:style>
  <w:style w:type="paragraph" w:styleId="PGELhdFull">
    <w:name w:val="PGE Lhd Full"/>
    <w:qFormat/>
    <w:pPr>
      <w:widowControl w:val="false"/>
      <w:bidi w:val="0"/>
    </w:pPr>
    <w:rPr>
      <w:rFonts w:ascii="Courier" w:hAnsi="Courier" w:eastAsia="Times New" w:cs="Arial"/>
      <w:color w:val="auto"/>
      <w:kern w:val="2"/>
      <w:sz w:val="24"/>
      <w:szCs w:val="24"/>
      <w:lang w:val="en-CA" w:eastAsia="zh-CN" w:bidi="hi-IN"/>
    </w:rPr>
  </w:style>
  <w:style w:type="paragraph" w:styleId="EWHLhdFull">
    <w:name w:val="EWH Lhd Full"/>
    <w:qFormat/>
    <w:pPr>
      <w:widowControl w:val="false"/>
      <w:bidi w:val="0"/>
    </w:pPr>
    <w:rPr>
      <w:rFonts w:ascii="Courier" w:hAnsi="Courier" w:eastAsia="Times New" w:cs="Arial"/>
      <w:color w:val="auto"/>
      <w:kern w:val="2"/>
      <w:sz w:val="24"/>
      <w:szCs w:val="24"/>
      <w:lang w:val="en-CA" w:eastAsia="zh-CN" w:bidi="hi-IN"/>
    </w:rPr>
  </w:style>
  <w:style w:type="paragraph" w:styleId="KMSPersonal">
    <w:name w:val="KMS Personal"/>
    <w:qFormat/>
    <w:pPr>
      <w:widowControl w:val="false"/>
      <w:bidi w:val="0"/>
    </w:pPr>
    <w:rPr>
      <w:rFonts w:ascii="Courier" w:hAnsi="Courier" w:eastAsia="Times New" w:cs="Arial"/>
      <w:color w:val="auto"/>
      <w:kern w:val="2"/>
      <w:sz w:val="24"/>
      <w:szCs w:val="24"/>
      <w:lang w:val="en-CA" w:eastAsia="zh-CN" w:bidi="hi-IN"/>
    </w:rPr>
  </w:style>
  <w:style w:type="paragraph" w:styleId="DFJPersonal">
    <w:name w:val="DFJ Personal"/>
    <w:qFormat/>
    <w:pPr>
      <w:widowControl w:val="false"/>
      <w:bidi w:val="0"/>
    </w:pPr>
    <w:rPr>
      <w:rFonts w:ascii="Courier" w:hAnsi="Courier" w:eastAsia="Times New" w:cs="Arial"/>
      <w:color w:val="auto"/>
      <w:kern w:val="2"/>
      <w:sz w:val="24"/>
      <w:szCs w:val="24"/>
      <w:lang w:val="en-CA" w:eastAsia="zh-CN" w:bidi="hi-IN"/>
    </w:rPr>
  </w:style>
  <w:style w:type="paragraph" w:styleId="PGEPersonal">
    <w:name w:val="PGE Personal"/>
    <w:qFormat/>
    <w:pPr>
      <w:widowControl w:val="false"/>
      <w:bidi w:val="0"/>
    </w:pPr>
    <w:rPr>
      <w:rFonts w:ascii="Courier" w:hAnsi="Courier" w:eastAsia="Times New" w:cs="Arial"/>
      <w:color w:val="auto"/>
      <w:kern w:val="2"/>
      <w:sz w:val="24"/>
      <w:szCs w:val="24"/>
      <w:lang w:val="en-CA" w:eastAsia="zh-CN" w:bidi="hi-IN"/>
    </w:rPr>
  </w:style>
  <w:style w:type="paragraph" w:styleId="cips">
    <w:name w:val="cips"/>
    <w:qFormat/>
    <w:pPr>
      <w:widowControl w:val="false"/>
      <w:bidi w:val="0"/>
    </w:pPr>
    <w:rPr>
      <w:rFonts w:ascii="Courier" w:hAnsi="Courier" w:eastAsia="Times New" w:cs="Arial"/>
      <w:color w:val="auto"/>
      <w:kern w:val="2"/>
      <w:sz w:val="24"/>
      <w:szCs w:val="24"/>
      <w:lang w:val="en-CA" w:eastAsia="zh-CN" w:bidi="hi-IN"/>
    </w:rPr>
  </w:style>
  <w:style w:type="paragraph" w:styleId="DFJLhdFull">
    <w:name w:val="DFJ Lhd Full"/>
    <w:qFormat/>
    <w:pPr>
      <w:widowControl w:val="false"/>
      <w:bidi w:val="0"/>
    </w:pPr>
    <w:rPr>
      <w:rFonts w:ascii="Courier" w:hAnsi="Courier" w:eastAsia="Times New" w:cs="Arial"/>
      <w:color w:val="auto"/>
      <w:kern w:val="2"/>
      <w:sz w:val="24"/>
      <w:szCs w:val="24"/>
      <w:lang w:val="en-CA" w:eastAsia="zh-CN" w:bidi="hi-IN"/>
    </w:rPr>
  </w:style>
  <w:style w:type="paragraph" w:styleId="FirmLhdFul">
    <w:name w:val="Firm Lhd Ful"/>
    <w:qFormat/>
    <w:pPr>
      <w:widowControl w:val="false"/>
      <w:bidi w:val="0"/>
    </w:pPr>
    <w:rPr>
      <w:rFonts w:ascii="Courier" w:hAnsi="Courier" w:eastAsia="Times New" w:cs="Arial"/>
      <w:color w:val="auto"/>
      <w:kern w:val="2"/>
      <w:sz w:val="24"/>
      <w:szCs w:val="24"/>
      <w:lang w:val="en-CA" w:eastAsia="zh-CN" w:bidi="hi-IN"/>
    </w:rPr>
  </w:style>
  <w:style w:type="paragraph" w:styleId="EWHPersonal">
    <w:name w:val="EWH Personal"/>
    <w:qFormat/>
    <w:pPr>
      <w:widowControl w:val="false"/>
      <w:bidi w:val="0"/>
    </w:pPr>
    <w:rPr>
      <w:rFonts w:ascii="Courier" w:hAnsi="Courier" w:eastAsia="Times New" w:cs="Arial"/>
      <w:color w:val="auto"/>
      <w:kern w:val="2"/>
      <w:sz w:val="24"/>
      <w:szCs w:val="24"/>
      <w:lang w:val="en-CA" w:eastAsia="zh-CN" w:bidi="hi-IN"/>
    </w:rPr>
  </w:style>
  <w:style w:type="paragraph" w:styleId="KMCPersonal">
    <w:name w:val="KMC Personal"/>
    <w:qFormat/>
    <w:pPr>
      <w:widowControl w:val="false"/>
      <w:bidi w:val="0"/>
    </w:pPr>
    <w:rPr>
      <w:rFonts w:ascii="Courier" w:hAnsi="Courier" w:eastAsia="Times New" w:cs="Arial"/>
      <w:color w:val="auto"/>
      <w:kern w:val="2"/>
      <w:sz w:val="24"/>
      <w:szCs w:val="24"/>
      <w:lang w:val="en-CA" w:eastAsia="zh-CN" w:bidi="hi-IN"/>
    </w:rPr>
  </w:style>
  <w:style w:type="paragraph" w:styleId="KMCsLtrhd">
    <w:name w:val="KMC's Ltrhd"/>
    <w:qFormat/>
    <w:pPr>
      <w:widowControl w:val="false"/>
      <w:bidi w:val="0"/>
    </w:pPr>
    <w:rPr>
      <w:rFonts w:ascii="Courier" w:hAnsi="Courier" w:eastAsia="Times New" w:cs="Arial"/>
      <w:color w:val="auto"/>
      <w:kern w:val="2"/>
      <w:sz w:val="24"/>
      <w:szCs w:val="24"/>
      <w:lang w:val="en-CA" w:eastAsia="zh-CN" w:bidi="hi-IN"/>
    </w:rPr>
  </w:style>
  <w:style w:type="paragraph" w:styleId="KMSsLtrhd">
    <w:name w:val="KMS's Ltrhd"/>
    <w:qFormat/>
    <w:pPr>
      <w:widowControl w:val="false"/>
      <w:bidi w:val="0"/>
    </w:pPr>
    <w:rPr>
      <w:rFonts w:ascii="Courier" w:hAnsi="Courier" w:eastAsia="Times New" w:cs="Arial"/>
      <w:color w:val="auto"/>
      <w:kern w:val="2"/>
      <w:sz w:val="24"/>
      <w:szCs w:val="24"/>
      <w:lang w:val="en-CA" w:eastAsia="zh-CN" w:bidi="hi-IN"/>
    </w:rPr>
  </w:style>
  <w:style w:type="paragraph" w:styleId="EWHsLtrhd">
    <w:name w:val="EWH's Ltrhd"/>
    <w:qFormat/>
    <w:pPr>
      <w:widowControl w:val="false"/>
      <w:bidi w:val="0"/>
    </w:pPr>
    <w:rPr>
      <w:rFonts w:ascii="Courier" w:hAnsi="Courier" w:eastAsia="Times New" w:cs="Arial"/>
      <w:color w:val="auto"/>
      <w:kern w:val="2"/>
      <w:sz w:val="24"/>
      <w:szCs w:val="24"/>
      <w:lang w:val="en-CA" w:eastAsia="zh-CN" w:bidi="hi-IN"/>
    </w:rPr>
  </w:style>
  <w:style w:type="paragraph" w:styleId="DFJsLtrhd">
    <w:name w:val="DFJ's Ltrhd"/>
    <w:qFormat/>
    <w:pPr>
      <w:widowControl w:val="false"/>
      <w:bidi w:val="0"/>
    </w:pPr>
    <w:rPr>
      <w:rFonts w:ascii="Courier" w:hAnsi="Courier" w:eastAsia="Times New" w:cs="Arial"/>
      <w:color w:val="auto"/>
      <w:kern w:val="2"/>
      <w:sz w:val="24"/>
      <w:szCs w:val="24"/>
      <w:lang w:val="en-CA" w:eastAsia="zh-CN" w:bidi="hi-IN"/>
    </w:rPr>
  </w:style>
  <w:style w:type="paragraph" w:styleId="PGEsLtrhd">
    <w:name w:val="PGE's Ltrhd"/>
    <w:qFormat/>
    <w:pPr>
      <w:widowControl w:val="false"/>
      <w:bidi w:val="0"/>
    </w:pPr>
    <w:rPr>
      <w:rFonts w:ascii="Courier" w:hAnsi="Courier" w:eastAsia="Times New" w:cs="Arial"/>
      <w:color w:val="auto"/>
      <w:kern w:val="2"/>
      <w:sz w:val="24"/>
      <w:szCs w:val="24"/>
      <w:lang w:val="en-CA" w:eastAsia="zh-CN" w:bidi="hi-IN"/>
    </w:rPr>
  </w:style>
  <w:style w:type="paragraph" w:styleId="FirmLtrhd">
    <w:name w:val="Firm Ltrhd"/>
    <w:qFormat/>
    <w:pPr>
      <w:widowControl w:val="false"/>
      <w:bidi w:val="0"/>
    </w:pPr>
    <w:rPr>
      <w:rFonts w:ascii="Courier" w:hAnsi="Courier" w:eastAsia="Times New" w:cs="Arial"/>
      <w:color w:val="auto"/>
      <w:kern w:val="2"/>
      <w:sz w:val="24"/>
      <w:szCs w:val="24"/>
      <w:lang w:val="en-CA" w:eastAsia="zh-CN" w:bidi="hi-IN"/>
    </w:rPr>
  </w:style>
  <w:style w:type="paragraph" w:styleId="Pleading">
    <w:name w:val="Pleading"/>
    <w:qFormat/>
    <w:pPr>
      <w:widowControl w:val="false"/>
      <w:bidi w:val="0"/>
    </w:pPr>
    <w:rPr>
      <w:rFonts w:ascii="Courier" w:hAnsi="Courier" w:eastAsia="Times New" w:cs="Arial"/>
      <w:color w:val="auto"/>
      <w:kern w:val="2"/>
      <w:sz w:val="24"/>
      <w:szCs w:val="24"/>
      <w:lang w:val="en-CA" w:eastAsia="zh-CN" w:bidi="hi-IN"/>
    </w:rPr>
  </w:style>
  <w:style w:type="paragraph" w:styleId="TechInit">
    <w:name w:val="Tech Init"/>
    <w:qFormat/>
    <w:pPr>
      <w:widowControl w:val="false"/>
      <w:bidi w:val="0"/>
    </w:pPr>
    <w:rPr>
      <w:rFonts w:ascii="Courier" w:hAnsi="Courier" w:eastAsia="Times New" w:cs="Arial"/>
      <w:color w:val="auto"/>
      <w:kern w:val="2"/>
      <w:sz w:val="24"/>
      <w:szCs w:val="24"/>
      <w:lang w:val="en-CA" w:eastAsia="zh-CN" w:bidi="hi-IN"/>
    </w:rPr>
  </w:style>
  <w:style w:type="paragraph" w:styleId="8">
    <w:name w:val="[8]"/>
    <w:qFormat/>
    <w:pPr>
      <w:widowControl w:val="false"/>
      <w:tabs>
        <w:tab w:val="left" w:pos="720" w:leader="none"/>
      </w:tabs>
      <w:bidi w:val="0"/>
      <w:spacing w:lineRule="atLeast" w:line="0"/>
    </w:pPr>
    <w:rPr>
      <w:rFonts w:ascii="Courier" w:hAnsi="Courier" w:eastAsia="Times New" w:cs="Arial"/>
      <w:b/>
      <w:color w:val="auto"/>
      <w:kern w:val="2"/>
      <w:sz w:val="24"/>
      <w:szCs w:val="24"/>
      <w:lang w:val="en-CA" w:eastAsia="zh-CN" w:bidi="hi-IN"/>
    </w:rPr>
  </w:style>
  <w:style w:type="paragraph" w:styleId="7">
    <w:name w:val="[7]"/>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6">
    <w:name w:val="[6]"/>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5">
    <w:name w:val="[5]"/>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1">
    <w:name w:val="[1]"/>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2">
    <w:name w:val="[2]"/>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4">
    <w:name w:val="[4]"/>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3">
    <w:name w:val="[3]"/>
    <w:qFormat/>
    <w:pPr>
      <w:widowControl w:val="false"/>
      <w:bidi w:val="0"/>
      <w:spacing w:lineRule="atLeast" w:line="0"/>
    </w:pPr>
    <w:rPr>
      <w:rFonts w:ascii="Courier" w:hAnsi="Courier" w:eastAsia="Times New" w:cs="Arial"/>
      <w:b/>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