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October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Pioneer Oil (“Pioneer”)</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Pioneer’s coal bed methane production from T55N; R79W up to a total of 20,000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The in-service date of the necessary gathering facilities; estimated to be December 1, 2001 – October 31, 2002</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 xml:space="preserve">At the interconnection between the Pioneer wellhead facilities and the Bear Paw Energy pipeline system.  </w:t>
      </w:r>
      <w:r>
        <w:rPr>
          <w:b/>
          <w:bCs/>
          <w:sz w:val="24"/>
        </w:rPr>
        <w:t>However, all pricing in this proposal is priced at Glenrock.  Enron will manage Pioneer’s gathering contracts on Bear Paw, Big Horn and Fort Union and deduct those charges from these quoted prices.</w:t>
      </w:r>
    </w:p>
    <w:p>
      <w:pPr>
        <w:pStyle w:val="Normal"/>
        <w:jc w:val="both"/>
        <w:rPr>
          <w:b/>
          <w:bCs/>
          <w:sz w:val="24"/>
        </w:rPr>
      </w:pPr>
      <w:r>
        <w:rPr>
          <w:b/>
          <w:bCs/>
          <w:sz w:val="24"/>
        </w:rPr>
      </w:r>
    </w:p>
    <w:p>
      <w:pPr>
        <w:pStyle w:val="BodyTextIndent"/>
        <w:rPr/>
      </w:pPr>
      <w:r>
        <w:rPr>
          <w:b/>
          <w:bCs/>
          <w:sz w:val="24"/>
        </w:rPr>
        <w:t>GAS PRICE:</w:t>
        <w:tab/>
      </w:r>
      <w:r>
        <w:rPr>
          <w:sz w:val="24"/>
        </w:rPr>
        <w:t>Upon the in-service date, and until the production levels consistently exceed 2,500 Mcf per day, 100% of the production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$.04 less the gathering services fees on Big Horn Gas Gathering, Bear Paw Energy and Fort Union</w:t>
      </w:r>
    </w:p>
    <w:p>
      <w:pPr>
        <w:pStyle w:val="Normal"/>
        <w:ind w:start="2160" w:end="0"/>
        <w:jc w:val="both"/>
        <w:rPr>
          <w:sz w:val="24"/>
        </w:rPr>
      </w:pPr>
      <w:r>
        <w:rPr>
          <w:sz w:val="24"/>
        </w:rPr>
        <w:t>Issue: Daily issue for the Relevant Period.</w:t>
      </w:r>
    </w:p>
    <w:p>
      <w:pPr>
        <w:pStyle w:val="BodyTextIndent"/>
        <w:rPr>
          <w:b/>
          <w:bCs/>
          <w:sz w:val="24"/>
        </w:rPr>
      </w:pPr>
      <w:r>
        <w:rPr>
          <w:b/>
          <w:bCs/>
          <w:sz w:val="24"/>
        </w:rPr>
      </w:r>
    </w:p>
    <w:p>
      <w:pPr>
        <w:pStyle w:val="BodyTextIndent"/>
        <w:ind w:hanging="0" w:end="0"/>
        <w:rPr>
          <w:sz w:val="24"/>
        </w:rPr>
      </w:pPr>
      <w:r>
        <w:rPr>
          <w:sz w:val="24"/>
        </w:rPr>
        <w:t>Once the production levels consistently exceed 2,500 Mcf per day the pricing will convert to the following pricing scenario:</w:t>
      </w:r>
    </w:p>
    <w:p>
      <w:pPr>
        <w:pStyle w:val="BodyTextIndent"/>
        <w:ind w:hanging="0" w:end="0"/>
        <w:rPr>
          <w:sz w:val="24"/>
        </w:rPr>
      </w:pP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$.04 less the gathering service fees on Big Horn Gas Gathering, Bear Paw Energy and Fort Union</w:t>
      </w:r>
    </w:p>
    <w:p>
      <w:pPr>
        <w:pStyle w:val="Normal"/>
        <w:keepLines/>
        <w:ind w:firstLine="738" w:start="1422" w:end="0"/>
        <w:jc w:val="both"/>
        <w:rPr>
          <w:sz w:val="24"/>
        </w:rPr>
      </w:pPr>
      <w:r>
        <w:rPr>
          <w:sz w:val="24"/>
        </w:rPr>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$.04 plus the gathering services fees on Big Horn Gas Gathering, Bear Paw Energy and Fort Union</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Pioneer’s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Pioneer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2001-10-12T18:54:00Z</dcterms:created>
  <dc:creator>Jim Buerkle</dc:creator>
  <dc:description/>
  <dc:language>en-CA</dc:language>
  <cp:lastModifiedBy>mwhitt</cp:lastModifiedBy>
  <cp:lastPrinted>2001-09-20T16:14:00Z</cp:lastPrinted>
  <dcterms:modified xsi:type="dcterms:W3CDTF">2001-10-12T18:54:00Z</dcterms:modified>
  <cp:revision>2</cp:revision>
  <dc:subject/>
  <dc:title>ENA Confidential</dc:title>
</cp:coreProperties>
</file>