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MATTHEW J. PICARDI</w:t>
      </w:r>
    </w:p>
    <w:p>
      <w:pPr>
        <w:pStyle w:val="Normal"/>
        <w:jc w:val="center"/>
        <w:rPr/>
      </w:pPr>
      <w:r>
        <w:rPr/>
        <w:t>7890 East Ridge Pointe Drive</w:t>
      </w:r>
    </w:p>
    <w:p>
      <w:pPr>
        <w:pStyle w:val="Normal"/>
        <w:jc w:val="center"/>
        <w:rPr/>
      </w:pPr>
      <w:r>
        <w:rPr/>
        <w:t>Fayetteville, New York 13066</w:t>
      </w:r>
    </w:p>
    <w:p>
      <w:pPr>
        <w:pStyle w:val="Normal"/>
        <w:jc w:val="center"/>
        <w:rPr/>
      </w:pPr>
      <w:r>
        <w:rPr/>
        <w:t>(315) 637-4288</w:t>
      </w:r>
    </w:p>
    <w:p>
      <w:pPr>
        <w:pStyle w:val="Normal"/>
        <w:rPr>
          <w:b/>
        </w:rPr>
      </w:pPr>
      <w:r>
        <w:rPr>
          <w:b/>
        </w:rPr>
      </w:r>
    </w:p>
    <w:p>
      <w:pPr>
        <w:pStyle w:val="Heading1"/>
        <w:ind w:hanging="0" w:start="0"/>
        <w:rPr/>
      </w:pPr>
      <w:r>
        <w:rPr/>
        <w:t>PROFESSIONAL EXPERIENCE</w:t>
      </w:r>
    </w:p>
    <w:p>
      <w:pPr>
        <w:pStyle w:val="Normal"/>
        <w:rPr/>
      </w:pPr>
      <w:r>
        <w:rPr/>
      </w:r>
    </w:p>
    <w:p>
      <w:pPr>
        <w:pStyle w:val="Normal"/>
        <w:rPr>
          <w:b/>
        </w:rPr>
      </w:pPr>
      <w:r>
        <w:rPr>
          <w:b/>
        </w:rPr>
        <w:t>Niagara Mohawk Energy, Inc.</w:t>
      </w:r>
    </w:p>
    <w:p>
      <w:pPr>
        <w:pStyle w:val="Normal"/>
        <w:rPr/>
      </w:pPr>
      <w:r>
        <w:rPr/>
        <w:t>June 1, 1996 to Present</w:t>
      </w:r>
    </w:p>
    <w:p>
      <w:pPr>
        <w:pStyle w:val="Normal"/>
        <w:rPr/>
      </w:pPr>
      <w:r>
        <w:rPr/>
      </w:r>
    </w:p>
    <w:p>
      <w:pPr>
        <w:pStyle w:val="Normal"/>
        <w:rPr/>
      </w:pPr>
      <w:r>
        <w:rPr/>
        <w:tab/>
      </w:r>
      <w:r>
        <w:rPr>
          <w:b/>
        </w:rPr>
        <w:t>General Counsel And Secretary</w:t>
      </w:r>
      <w:r>
        <w:rPr/>
        <w:t xml:space="preserve"> – Manage Law Department and corporate governance function for Niagara Mohawk Energy, the Niagara Mohawk subsidiary responsible for building shareholder value by trading and marketing energy, providing energy services and pursuing strategic acquisitions and ventures.</w:t>
      </w:r>
    </w:p>
    <w:p>
      <w:pPr>
        <w:pStyle w:val="Normal"/>
        <w:rPr/>
      </w:pPr>
      <w:r>
        <w:rPr/>
        <w:tab/>
      </w:r>
    </w:p>
    <w:p>
      <w:pPr>
        <w:pStyle w:val="Normal"/>
        <w:rPr/>
      </w:pPr>
      <w:r>
        <w:rPr/>
        <w:tab/>
      </w:r>
      <w:r>
        <w:rPr>
          <w:rFonts w:eastAsia="Symbol" w:cs="Symbol" w:ascii="Symbol" w:hAnsi="Symbol"/>
        </w:rPr>
        <w:sym w:font="Symbol" w:char="f0b7"/>
      </w:r>
      <w:r>
        <w:rPr/>
        <w:t xml:space="preserve">  Duties include establishing standards for energy performance and services contracts and energy marketing contracts and negotiating documentation for significant transactions.  Negotiated terms and closed a $15 million energy performance contract with the Liverpool Central School District that included the installation of an ONSI Fuel Cell.</w:t>
      </w:r>
    </w:p>
    <w:p>
      <w:pPr>
        <w:pStyle w:val="Normal"/>
        <w:rPr/>
      </w:pPr>
      <w:r>
        <w:rPr/>
      </w:r>
    </w:p>
    <w:p>
      <w:pPr>
        <w:pStyle w:val="Normal"/>
        <w:rPr/>
      </w:pPr>
      <w:r>
        <w:rPr/>
        <w:tab/>
      </w:r>
      <w:r>
        <w:rPr>
          <w:rFonts w:eastAsia="Symbol" w:cs="Symbol" w:ascii="Symbol" w:hAnsi="Symbol"/>
        </w:rPr>
        <w:sym w:font="Symbol" w:char="f0b7"/>
      </w:r>
      <w:r>
        <w:rPr/>
        <w:t xml:space="preserve">  Work closely with energy marketing and services professionals to evaluate retail access laws, rules and utility tariffs and structure profitable energy supply and performance and services contracts.  This effort has assisted in the acquisition of approximately 10,000 industrial, commercial and government energy supply customers located in three States and over 100,000 indirect energy supply customers through strategic alliances.</w:t>
      </w:r>
    </w:p>
    <w:p>
      <w:pPr>
        <w:pStyle w:val="Normal"/>
        <w:rPr/>
      </w:pPr>
      <w:r>
        <w:rPr/>
      </w:r>
    </w:p>
    <w:p>
      <w:pPr>
        <w:pStyle w:val="Normal"/>
        <w:rPr/>
      </w:pPr>
      <w:r>
        <w:rPr/>
        <w:tab/>
      </w:r>
      <w:r>
        <w:rPr>
          <w:rFonts w:eastAsia="Symbol" w:cs="Symbol" w:ascii="Symbol" w:hAnsi="Symbol"/>
        </w:rPr>
        <w:sym w:font="Symbol" w:char="f0b7"/>
      </w:r>
      <w:r>
        <w:rPr/>
        <w:t xml:space="preserve">  Part of a senior management team that pursues strategic acquisitions for Niagara Mohawk Energy and its unregulated affiliates.  This team has completed investments in several entities, including Telergy, Inc., a Syracuse based telecommunications firm and participated in acquisition opportunities for several energy services companies.</w:t>
      </w:r>
    </w:p>
    <w:p>
      <w:pPr>
        <w:pStyle w:val="Normal"/>
        <w:rPr/>
      </w:pPr>
      <w:r>
        <w:rPr/>
        <w:tab/>
      </w:r>
    </w:p>
    <w:p>
      <w:pPr>
        <w:pStyle w:val="Normal"/>
        <w:ind w:firstLine="720" w:end="0"/>
        <w:rPr/>
      </w:pPr>
      <w:r>
        <w:rPr>
          <w:rFonts w:eastAsia="Symbol" w:cs="Symbol" w:ascii="Symbol" w:hAnsi="Symbol"/>
        </w:rPr>
        <w:sym w:font="Symbol" w:char="f0b7"/>
      </w:r>
      <w:r>
        <w:rPr/>
        <w:t xml:space="preserve">  </w:t>
      </w:r>
      <w:r>
        <w:rPr/>
        <w:t>Responsible for contract administration function for wholesale energy marketing and trading, including financial instruments, such as swaps, options and futures and supervise transaction confirmation function.  Negotiated the first electricity swap transaction with the New York Power Authority for its Power For  Jobs Program.</w:t>
      </w:r>
    </w:p>
    <w:p>
      <w:pPr>
        <w:pStyle w:val="Normal"/>
        <w:ind w:firstLine="720" w:end="0"/>
        <w:rPr/>
      </w:pPr>
      <w:r>
        <w:rPr/>
      </w:r>
    </w:p>
    <w:p>
      <w:pPr>
        <w:pStyle w:val="Normal"/>
        <w:ind w:firstLine="720" w:end="0"/>
        <w:rPr/>
      </w:pPr>
      <w:r>
        <w:rPr>
          <w:rFonts w:eastAsia="Symbol" w:cs="Symbol" w:ascii="Symbol" w:hAnsi="Symbol"/>
        </w:rPr>
        <w:sym w:font="Symbol" w:char="f0b7"/>
      </w:r>
      <w:r>
        <w:rPr/>
        <w:t xml:space="preserve">  </w:t>
      </w:r>
      <w:r>
        <w:rPr/>
        <w:t xml:space="preserve">Manage regulatory compliance and advocacy matters.  Successfully preserved valuable transmission redirect rights and defended against an affiliate rules complaint in recent proceedings before the Federal Energy Regulatory Commission. </w:t>
      </w:r>
    </w:p>
    <w:p>
      <w:pPr>
        <w:pStyle w:val="Normal"/>
        <w:rPr/>
      </w:pPr>
      <w:r>
        <w:rPr/>
        <w:tab/>
        <w:tab/>
      </w:r>
    </w:p>
    <w:p>
      <w:pPr>
        <w:pStyle w:val="Normal"/>
        <w:rPr/>
      </w:pPr>
      <w:r>
        <w:rPr/>
      </w:r>
    </w:p>
    <w:p>
      <w:pPr>
        <w:pStyle w:val="Normal"/>
        <w:rPr/>
      </w:pPr>
      <w:r>
        <w:rPr/>
      </w:r>
    </w:p>
    <w:p>
      <w:pPr>
        <w:pStyle w:val="Normal"/>
        <w:rPr/>
      </w:pPr>
      <w:r>
        <w:rPr/>
        <w:tab/>
      </w:r>
    </w:p>
    <w:p>
      <w:pPr>
        <w:pStyle w:val="Heading1"/>
        <w:ind w:hanging="0" w:start="0"/>
        <w:rPr/>
      </w:pPr>
      <w:r>
        <w:rPr/>
        <w:t>Niagara Mohawk Power Corporation</w:t>
      </w:r>
    </w:p>
    <w:p>
      <w:pPr>
        <w:pStyle w:val="Normal"/>
        <w:rPr/>
      </w:pPr>
      <w:r>
        <w:rPr/>
        <w:t>September 1985 to June 1996</w:t>
      </w:r>
    </w:p>
    <w:p>
      <w:pPr>
        <w:pStyle w:val="Normal"/>
        <w:rPr/>
      </w:pPr>
      <w:r>
        <w:rPr/>
      </w:r>
    </w:p>
    <w:p>
      <w:pPr>
        <w:pStyle w:val="Normal"/>
        <w:rPr/>
      </w:pPr>
      <w:r>
        <w:rPr/>
        <w:tab/>
      </w:r>
      <w:r>
        <w:rPr>
          <w:b/>
        </w:rPr>
        <w:t xml:space="preserve">Managing Counsel </w:t>
      </w:r>
      <w:r>
        <w:rPr/>
        <w:t xml:space="preserve">– Progressed through positions within Law Department to Managing Counsel in November 1992.  Practice focused on utility regulation and corporate governance and contract negotiation and review. </w:t>
      </w:r>
    </w:p>
    <w:p>
      <w:pPr>
        <w:pStyle w:val="Normal"/>
        <w:rPr/>
      </w:pPr>
      <w:r>
        <w:rPr/>
      </w:r>
    </w:p>
    <w:p>
      <w:pPr>
        <w:pStyle w:val="Normal"/>
        <w:rPr/>
      </w:pPr>
      <w:r>
        <w:rPr/>
        <w:tab/>
        <w:t xml:space="preserve">•  Represented Niagara Mohawk in rulemakings and administrative proceedings before FERC and the New York State Public Service Commission.  Obtained many favorable decisions and settlements, including of rate recovery for over one hundred million dollars of power purchase contracts before the New York State Public Service Commission. </w:t>
        <w:tab/>
      </w:r>
    </w:p>
    <w:p>
      <w:pPr>
        <w:pStyle w:val="Normal"/>
        <w:rPr/>
      </w:pPr>
      <w:r>
        <w:rPr/>
      </w:r>
    </w:p>
    <w:p>
      <w:pPr>
        <w:pStyle w:val="Normal"/>
        <w:rPr/>
      </w:pPr>
      <w:r>
        <w:rPr/>
        <w:tab/>
        <w:t>•  Temporary assignment as a Power Marketing Professional with Power Transactions Department (July 1995 to June 1996) for the purpose of assisting in the negotiation and preparation of complex wholesale power and transmission contracts.</w:t>
      </w:r>
    </w:p>
    <w:p>
      <w:pPr>
        <w:pStyle w:val="Normal"/>
        <w:rPr/>
      </w:pPr>
      <w:r>
        <w:rPr/>
      </w:r>
    </w:p>
    <w:p>
      <w:pPr>
        <w:pStyle w:val="Heading1"/>
        <w:ind w:hanging="0" w:start="0"/>
        <w:rPr/>
      </w:pPr>
      <w:r>
        <w:rPr/>
        <w:t>PROFESSIONAL ORGANIZATIONS</w:t>
      </w:r>
    </w:p>
    <w:p>
      <w:pPr>
        <w:pStyle w:val="Normal"/>
        <w:rPr>
          <w:b/>
        </w:rPr>
      </w:pPr>
      <w:r>
        <w:rPr>
          <w:b/>
        </w:rPr>
      </w:r>
    </w:p>
    <w:p>
      <w:pPr>
        <w:pStyle w:val="Normal"/>
        <w:rPr/>
      </w:pPr>
      <w:r>
        <w:rPr>
          <w:b/>
        </w:rPr>
        <w:tab/>
      </w:r>
      <w:r>
        <w:rPr/>
        <w:t>Vice-Chair and Founding Member of the National Energy Marketers Association. Member of the Federal Energy Bar Association and New York State Bar Association.</w:t>
      </w:r>
    </w:p>
    <w:p>
      <w:pPr>
        <w:pStyle w:val="Normal"/>
        <w:rPr/>
      </w:pPr>
      <w:r>
        <w:rPr/>
      </w:r>
    </w:p>
    <w:p>
      <w:pPr>
        <w:pStyle w:val="Heading1"/>
        <w:ind w:hanging="0" w:start="0"/>
        <w:rPr/>
      </w:pPr>
      <w:r>
        <w:rPr/>
        <w:t>EDUCATION</w:t>
      </w:r>
    </w:p>
    <w:p>
      <w:pPr>
        <w:pStyle w:val="Normal"/>
        <w:rPr>
          <w:b/>
        </w:rPr>
      </w:pPr>
      <w:r>
        <w:rPr>
          <w:b/>
        </w:rPr>
      </w:r>
    </w:p>
    <w:p>
      <w:pPr>
        <w:pStyle w:val="Normal"/>
        <w:rPr/>
      </w:pPr>
      <w:r>
        <w:rPr>
          <w:b/>
        </w:rPr>
        <w:tab/>
      </w:r>
      <w:r>
        <w:rPr/>
        <w:t>Syracuse University College of Law</w:t>
      </w:r>
    </w:p>
    <w:p>
      <w:pPr>
        <w:pStyle w:val="Normal"/>
        <w:rPr/>
      </w:pPr>
      <w:r>
        <w:rPr/>
        <w:tab/>
        <w:t>Syracuse, New York</w:t>
      </w:r>
    </w:p>
    <w:p>
      <w:pPr>
        <w:pStyle w:val="Normal"/>
        <w:rPr/>
      </w:pPr>
      <w:r>
        <w:rPr/>
        <w:tab/>
        <w:t>J.D. 1985 (Moot Court Board)</w:t>
      </w:r>
    </w:p>
    <w:p>
      <w:pPr>
        <w:pStyle w:val="Normal"/>
        <w:rPr/>
      </w:pPr>
      <w:r>
        <w:rPr/>
      </w:r>
    </w:p>
    <w:p>
      <w:pPr>
        <w:pStyle w:val="Normal"/>
        <w:rPr/>
      </w:pPr>
      <w:r>
        <w:rPr/>
        <w:tab/>
        <w:t>Hobart College</w:t>
      </w:r>
    </w:p>
    <w:p>
      <w:pPr>
        <w:pStyle w:val="Normal"/>
        <w:rPr/>
      </w:pPr>
      <w:r>
        <w:rPr/>
        <w:tab/>
        <w:t>Geneva, New York</w:t>
      </w:r>
    </w:p>
    <w:p>
      <w:pPr>
        <w:pStyle w:val="Normal"/>
        <w:ind w:start="720" w:end="0"/>
        <w:rPr/>
      </w:pPr>
      <w:r>
        <w:rPr/>
        <w:t>B.A. (Economics and Political Science; Dean’s List Student, Captain-Varsity Tennis Team)</w:t>
      </w:r>
    </w:p>
    <w:p>
      <w:pPr>
        <w:pStyle w:val="Normal"/>
        <w:rPr/>
      </w:pPr>
      <w:r>
        <w:rPr/>
      </w:r>
    </w:p>
    <w:p>
      <w:pPr>
        <w:pStyle w:val="Heading1"/>
        <w:ind w:hanging="0" w:start="0"/>
        <w:rPr/>
      </w:pPr>
      <w:r>
        <w:rPr/>
        <w:t>BAR ADMISSIONS</w:t>
      </w:r>
    </w:p>
    <w:p>
      <w:pPr>
        <w:pStyle w:val="Normal"/>
        <w:rPr>
          <w:b/>
        </w:rPr>
      </w:pPr>
      <w:r>
        <w:rPr>
          <w:b/>
        </w:rPr>
      </w:r>
    </w:p>
    <w:p>
      <w:pPr>
        <w:pStyle w:val="Normal"/>
        <w:rPr/>
      </w:pPr>
      <w:r>
        <w:rPr>
          <w:b/>
        </w:rPr>
        <w:tab/>
      </w:r>
      <w:r>
        <w:rPr/>
        <w:t>United States District Court for the Northern District of New York (1989); New York State Bar (1986)</w:t>
      </w:r>
    </w:p>
    <w:p>
      <w:pPr>
        <w:pStyle w:val="Normal"/>
        <w:rPr/>
      </w:pPr>
      <w:r>
        <w:rPr/>
      </w:r>
    </w:p>
    <w:p>
      <w:pPr>
        <w:pStyle w:val="Heading1"/>
        <w:ind w:hanging="0" w:start="0"/>
        <w:rPr/>
      </w:pPr>
      <w:r>
        <w:rPr/>
        <w:t>CONFERENCE PRESENTATIONS</w:t>
      </w:r>
    </w:p>
    <w:p>
      <w:pPr>
        <w:pStyle w:val="Normal"/>
        <w:rPr>
          <w:b/>
        </w:rPr>
      </w:pPr>
      <w:r>
        <w:rPr>
          <w:b/>
        </w:rPr>
      </w:r>
    </w:p>
    <w:p>
      <w:pPr>
        <w:pStyle w:val="Normal"/>
        <w:rPr/>
      </w:pPr>
      <w:r>
        <w:rPr>
          <w:b/>
        </w:rPr>
        <w:tab/>
      </w:r>
      <w:r>
        <w:rPr/>
        <w:t>Speaker at various seminars and conferences on issues related to utility regulation and energy marketing, including presenting a paper entitled, “Royalty Payments For Unregulated Affiliates – A Regulatory Tool That Will Frustrate Efficient Competition” to the Edison Electric Institute Legal Committee in 1996 and participated on the Ohio Energy Round Table in the Fall of 1999 with energy industry leaders.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2000-06-07T17:52:00Z</dcterms:created>
  <dc:creator>Matthew J Picardi</dc:creator>
  <dc:description/>
  <dc:language>en-CA</dc:language>
  <cp:lastModifiedBy>Ruthie Lai Trout</cp:lastModifiedBy>
  <cp:lastPrinted>2000-06-07T08:40:00Z</cp:lastPrinted>
  <dcterms:modified xsi:type="dcterms:W3CDTF">2000-06-07T17:52:00Z</dcterms:modified>
  <cp:revision>2</cp:revision>
  <dc:subject/>
  <dc:title>MATTHEW J</dc:title>
</cp:coreProperties>
</file>