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pPr>
      <w:r>
        <w:rPr>
          <w:rFonts w:cs="Arial Narrow" w:ascii="Arial Narrow" w:hAnsi="Arial Narrow"/>
          <w:b/>
          <w:smallCaps/>
          <w:sz w:val="20"/>
        </w:rPr>
        <w:t xml:space="preserve">General Terms and Conditions (“GTC”) to a Confirmation Letter dated </w:t>
      </w:r>
      <w:r>
        <w:rPr>
          <w:rFonts w:eastAsia="Symbol" w:cs="Symbol" w:ascii="Symbol" w:hAnsi="Symbol"/>
          <w:b/>
          <w:smallCaps/>
          <w:sz w:val="20"/>
        </w:rPr>
        <w:sym w:font="Symbol" w:char="f0b7"/>
      </w:r>
      <w:r>
        <w:rPr>
          <w:rFonts w:cs="Arial Narrow" w:ascii="Arial Narrow" w:hAnsi="Arial Narrow"/>
          <w:b/>
          <w:smallCaps/>
          <w:sz w:val="20"/>
        </w:rPr>
        <w:t xml:space="preserve"> between </w:t>
      </w:r>
      <w:r>
        <w:rPr>
          <w:rFonts w:eastAsia="Symbol" w:cs="Symbol" w:ascii="Symbol" w:hAnsi="Symbol"/>
          <w:b/>
          <w:smallCaps/>
          <w:sz w:val="20"/>
        </w:rPr>
        <w:sym w:font="Symbol" w:char="f0b7"/>
      </w:r>
      <w:r>
        <w:rPr>
          <w:rFonts w:cs="Arial Narrow" w:ascii="Arial Narrow" w:hAnsi="Arial Narrow"/>
          <w:b/>
          <w:smallCaps/>
          <w:sz w:val="20"/>
        </w:rPr>
        <w:t xml:space="preserve"> and Enron Canada Corp.</w:t>
      </w:r>
    </w:p>
    <w:p>
      <w:pPr>
        <w:pStyle w:val="BodyText3"/>
        <w:ind w:end="-26"/>
        <w:jc w:val="both"/>
        <w:rPr/>
      </w:pPr>
      <w:r>
        <w:rPr/>
        <w:t>This Annex A supplements, forms part of and is incorporated into the confirmation letter (the “Confirmation Letter”) to which this Annex A is attached. When a Master Power Purchase/Sale Agreement (the “Master Agreement”) is executed by the Parties, it will (i) govern all transactions (including this transaction) for the purchase and sale of Products between the Parties which are then governed by a GTC, and (ii) supersede each such GTC (including this GTC).  Capitalized terms used in this GTC shall have the meanings given to them in the Confirmation Letter except as expressly indicated otherwise in this GTC.</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Quantity of the Product, and Buyer shall pay Seller the Contract Price.  Seller shall be responsible for any costs or charges imposed on or associated with the Product or its delivery up to the Delivery Point, including, without limitation,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without limitation, all transmission costs and charges, competition transition charges, debt reduction charges, control area services charges, inadvertent energy flows, and transmission losses, loss charges, fees and uplift charges.  Title to and risk of loss related to the Quantity shall transfer from Seller to Buyer at the Delivery Point.  Seller and Buyer shall each indemnify, defend and hold harmless the other Party from any claims, including injury to or death of persons, arising from any act or incident occurring when title to the Product is vested in the indemnifying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(defined below), pursuant to the terms of the Product or by the other Party’s failure to perform, if a Party fails to schedule or deliver or receive, as applicable, all or any part of the Quantity, then such occurrence shall constitute a “Deficiency Default”.  Upon the occurrence of a Deficiency Default, the defaulting Party shall pay to the other Party, as liquidated damages and not as a penalty, an amount for such deficiency equal to the positive difference, if any, obtained by subtracting (i) the Contract Price from the Replacement Price (defined below) where the defaulting Party is Seller or (ii) the Sales Price (defined below) from the Contract Price where the defaulting Party is Buyer. “Replacement Price” means (a) the price at which Buyer, acting reasonably, purchases at the Delivery Point a replacement for any Product specified in a transaction but not scheduled or delivered by Seller, plus all costs reasonably incurred by Buyer in purchasing such substitute Product, including, without limitation, any additional transmission, location differential, transmission loss or transmission congestion charges, or costs incurred for otherwise complying with any resulting prudential support or other requirements, or (b) absent a purchase, the market price at the Delivery Point for such Quantity of Product not delivered as determined by Buyer acting reasonably; provided, however, in no event shall such price include any penalties, ratcheted demand or similar charges, nor shall Buyer be required to utilize or change its utilization of its owned or controlled assets, including contractual assets, or market positions to minimize Seller’s liability.  For the purposes of this definition, Buyer shall be considered to have purchased replacement Product to the extent Buyer shall have entered into one or more arrangements acting reasonably whereby Buyer repurchases its obligation to sell and deliver the Product to another person at the Delivery Point.  “Sales Price” means (a) the price at which Seller, acting reasonably, resells any Product not scheduled or received by Buyer, deducting from such proceeds any costs reasonably incurred by Seller in reselling or delivering such Product to third party purchasers, including, without limitation, any additional transmission, location differential, transmission loss or transmission congestion charges, or costs incurred for otherwise complying with any resulting prudential support or other requirements, or (b) absent a sale, assuming a sale could have been made by Seller acting reasonably, the market price at the Delivery Point for such Product not received as determined by Seller acting reasonably;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acting reasonably whereby Seller repurchases its obligation to purchase and receive the Product from another person at the Delivery Point.  Amounts payable pursuant to this paragraph shall be payable on or before 3 business days after receipt of an invoice from the Party claiming payment pursuant to this paragraph.  Unless otherwise provided in the Confirmation Letter, the payment obligations set forth in this paragraph shall apply only to a transaction where the Product is designated as "firm" or otherwise subject to "liquidated damages." The remedy set forth in this Section shall be the sole and exclusive remedy of the aggrieved Party for the failure to schedule or deliver or receive the Quantity of Product which is designated as "firm" or otherwise subject to liquidated damages and all other damages with respect thereto are waived.  </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To the extent either Party is prevented by Force Majeure from carrying out, in whole or part, its obligations under the Confirmation Letter and such Party gives notice and full details of the event to the other Party as soon as reasonably possible, then the obligations of the Party affected by the Force Majeure (other than the obligation to make payments then due or becoming due with respect to performance occurring prior to the Force Majeure), but only to the extent such obligations are affected by such Force Majeure, shall be suspended from the inception and throughout the period of continuance of such Force Majeure. If Force Majeure results only in a partial curtailment of Seller’s ability to deliver or cause to be delivered to the Delivery Point all or any part of the Quantity of Product under this transaction, or Buyer’s ability to receive or cause to be received at the Delivery Point, all or any part of the Quantity of Product under this transaction, Seller shall nonetheless continue to be obligated to deliver and sell to Buyer, and Buyer shall nonetheless continue to be obligated to receive and purchase from Seller, that amount of the Quantity of Product which has not been curtailed as a result of Force Majeure and the provisions of this Confirmation Letter shall continue to apply thereto.  "Force Majeure" means an event or circumstance occurring only at the Delivery Point which prevents one Party from performing its obligations under this transaction, which event or circumstance was not anticipated as of the date hereof,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of this definition has occurred.  The applicability of Force Majeure to this transaction is further governed by the terms of the Products described in the Confirmation Letter.</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(the "Defaulting Party") any of the following:  (i)  the failure by the Defaulting Party to make, when due, any payment required or to perform any other covenant set forth herein, in each case within 3 days after receipt of notice thereof, or (ii) the Defaulting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w:t>
      </w:r>
    </w:p>
    <w:p>
      <w:pPr>
        <w:pStyle w:val="Normal"/>
        <w:numPr>
          <w:ilvl w:val="0"/>
          <w:numId w:val="3"/>
        </w:numPr>
        <w:tabs>
          <w:tab w:val="clear" w:pos="720"/>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be continuing, the non-defaulting Party may, in its sole discretion, by written notice designate a day, no earlier than the day such notice is effective and no later than 20 days after such notice is effective, as an early termination date ("Early Termination Date") to liquidate and terminate any or all transactions between the Parties governed by a GTC (the “Terminated Transactions”) and withhold any payments due in respect of such transactions. If an Early Termination Date has been designated, the non-defaulting Party shall in good faith calculate its Gains, Losses and Costs (all defined below) resulting from the termination of the Terminated Transactions.  The non-defaulting Party shall aggregate such Gains, Losses and Costs with respect to all Terminated Transactions into a single net amount (the “Termination Payment”) and notify the Defaulting Party of the net amount owed or owing.  If the non-defaulting Party's aggregate Losses and Costs exceed its aggregate Gains, the Defaulting Party shall pay the net amount thereof to the non-defaulting Party, and, if the non-defaulting Party's aggregate Gains exceed its Losses and Costs, the non-defaulting Party shall pay the net amount thereof to the Defaulting Party.  The Termination Payment shall be paid to the appropriate Party, as liquidated damages and not as a penalty, within 2 business days after notice of the Termination Payment is effective. At the time for payment of the Termination Payment, each Party shall pay to the other Party all additional amounts payable by it pursuant hereto. Notwithstanding anything contained herein, the non-defaulting Party shall not be required to pay to the Defaulting Party any Termination Payment until all other obligations of any kind whatsoever of the Defaulting Party to make any payments to the non-defaulting Party or any of its affiliates hereunder or which are otherwise due and payable as of the Early Termination Date have been fully and finally performed.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the non-defaulting Party, all associated costs, including, without limitation, brokerage fees, commissions and other similar costs and expenses reasonably incurred by such Party either in terminating any arrangement pursuant to which it has hedged its obligations or entering into new arrangements which replace a Terminated Transaction and all legal fees and expenses incurred in connection with enforcing its rights hereunder;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to it (exclusive of Costs), if any, resulting from the termination of its obligations with respect to a Terminated Transaction;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to it (exclusive of Costs), if any, resulting from the termination of its obligations with respect to a Terminated Transaction. </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Upon the occurrence of an Early Termination Date, if the Defaulting Party would be owed the Termination Payment, the non-defaulting Party shall be entitled, at its option and in its sole and arbitrary discretion, to set off against such amount any amounts due and owing by the Defaulting Party or any of its affiliates to the non-defaulting Party or any of its affiliates hereunder or under any other agreements, obligations, instruments or undertakings whatsoever between the Defaulting Party or any of its affiliates and the non-defaulting Party or any of its affiliates.  Any remedies described in this paragraph shall be without prejudice and in addition to any and all rights of setoff, combination of accounts, lien or other right to which any Party is at any time otherwise entitled (whether hereunder, by operation of law, equity, contract or otherwise).</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Billing</w:t>
      </w:r>
      <w:r>
        <w:rPr>
          <w:rFonts w:cs="Arial Narrow" w:ascii="Arial Narrow" w:hAnsi="Arial Narrow"/>
          <w:b/>
          <w:sz w:val="20"/>
        </w:rPr>
        <w:t xml:space="preserve">.  </w:t>
      </w:r>
      <w:r>
        <w:rPr>
          <w:rFonts w:cs="Arial Narrow" w:ascii="Arial Narrow" w:hAnsi="Arial Narrow"/>
          <w:sz w:val="20"/>
        </w:rPr>
        <w:t>By the 20th day of each month, Seller shall provide Buyer a written statement covering the quantity of the Product delivered, the Delivery Period, the Contract Price, any applicable goods and services tax and the total amount due for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next following business day.  Payment of all funds shall be made by cheque or wire transfer in such manner that funds are immediately available to the payee on the applicable due date.  Interest on past due amounts shall accrue until fully paid (including accumulated interest) at the lesser of the rate of 10% per annum or the maximum rate permitted by law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Netting and Set-off.</w:t>
      </w:r>
      <w:r>
        <w:rPr>
          <w:rFonts w:cs="Arial Narrow" w:ascii="Arial Narrow" w:hAnsi="Arial Narrow"/>
          <w:b/>
          <w:sz w:val="20"/>
        </w:rPr>
        <w:t xml:space="preserve"> </w:t>
      </w:r>
      <w:r>
        <w:rPr>
          <w:rFonts w:cs="Arial Narrow" w:ascii="Arial Narrow" w:hAnsi="Arial Narrow"/>
          <w:sz w:val="20"/>
        </w:rPr>
        <w:t>Each Party reserves to itself, to the extent not herein expressly waived or denied, all rights, set-offs, counter</w:t>
        <w:softHyphen/>
        <w:t>claims and other remedies and defenses to which such Party may be entitled arising from or out of this Confirmation Letter.  The obligations to make payments in connection with this transaction and any other physical power purchase or sale agreements between the Parties hereto shall be netted against each other.</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Damages/Law</w:t>
      </w:r>
      <w:r>
        <w:rPr>
          <w:rFonts w:cs="Arial Narrow" w:ascii="Arial Narrow" w:hAnsi="Arial Narrow"/>
          <w:b/>
          <w:sz w:val="20"/>
        </w:rPr>
        <w:t xml:space="preserve">.  </w:t>
      </w:r>
      <w:r>
        <w:rPr>
          <w:rFonts w:cs="Arial Narrow" w:ascii="Arial Narrow" w:hAnsi="Arial Narrow"/>
          <w:sz w:val="20"/>
        </w:rPr>
        <w:t>For breach of any provision hereof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w:t>
      </w:r>
    </w:p>
    <w:p>
      <w:pPr>
        <w:pStyle w:val="Normal"/>
        <w:numPr>
          <w:ilvl w:val="0"/>
          <w:numId w:val="4"/>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the transaction or this Confirmation Letter to a third party (other than the Party’s and its affiliates’ employees, lenders, counsel, accountants, advisors or prospective purchasers of any rights under the transaction who have agreed to keep such terms confidential) except in order to comply with any applicable law, order, regulation or any exchange, control area or independent system operator rule or in connection with any court or regulatory proceeding or to effectuate transmission of the Product hereunder; provided each Party shall notify the other Party of any proceeding of which it is aware which may result in disclosure of such information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4"/>
        </w:numPr>
        <w:tabs>
          <w:tab w:val="clear" w:pos="720"/>
          <w:tab w:val="left" w:pos="270" w:leader="none"/>
          <w:tab w:val="left" w:pos="810" w:leader="none"/>
          <w:tab w:val="left" w:pos="1080" w:leader="none"/>
          <w:tab w:val="left" w:pos="1170" w:leader="none"/>
        </w:tabs>
        <w:jc w:val="both"/>
        <w:rPr>
          <w:rFonts w:ascii="Arial Narrow" w:hAnsi="Arial Narrow" w:cs="Arial Narrow"/>
          <w:sz w:val="20"/>
        </w:rPr>
      </w:pP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the Product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the Product arising at and from the Delivery Point, including any taxes imposed or collected by a taxing authority with jurisdiction over Buyer.  Buyer shall indemnify, defend and hold harmless Seller from any claims for such taxes.  </w:t>
      </w:r>
    </w:p>
    <w:p>
      <w:pPr>
        <w:pStyle w:val="Normal"/>
        <w:numPr>
          <w:ilvl w:val="0"/>
          <w:numId w:val="4"/>
        </w:numPr>
        <w:tabs>
          <w:tab w:val="clear" w:pos="720"/>
          <w:tab w:val="left" w:pos="270" w:leader="none"/>
          <w:tab w:val="left" w:pos="810" w:leader="none"/>
          <w:tab w:val="left" w:pos="1080" w:leader="none"/>
          <w:tab w:val="left" w:pos="1170" w:leader="none"/>
        </w:tabs>
        <w:jc w:val="both"/>
        <w:rPr>
          <w:rFonts w:ascii="Arial Narrow" w:hAnsi="Arial Narrow" w:cs="Arial Narrow"/>
          <w:sz w:val="20"/>
        </w:rPr>
      </w:pPr>
      <w:r>
        <w:rPr>
          <w:rFonts w:cs="Arial Narrow" w:ascii="Arial Narrow" w:hAnsi="Arial Narrow"/>
          <w:b/>
          <w:sz w:val="20"/>
          <w:u w:val="single"/>
        </w:rPr>
        <w:t>Securities Representation.</w:t>
      </w:r>
      <w:r>
        <w:rPr>
          <w:rFonts w:cs="Arial Narrow" w:ascii="Arial Narrow" w:hAnsi="Arial Narrow"/>
          <w:sz w:val="20"/>
        </w:rPr>
        <w:t xml:space="preserve"> </w:t>
      </w:r>
      <w:r>
        <w:rPr>
          <w:rFonts w:cs="Arial Narrow" w:ascii="Arial Narrow" w:hAnsi="Arial Narrow"/>
          <w:color w:val="000000"/>
          <w:sz w:val="20"/>
          <w:lang w:eastAsia="en-US"/>
        </w:rPr>
        <w:t>Each Party, with respect to itself, hereby represents and warrants to the other Party, that (a) each transaction completed hereunder shall constitute a “commodity contract” or an "OTC derivative" or such other similar term as defined pursuant to the securities legislation in force in Alberta, British Columbia or Ontario or pursuant to the securities legislation of any other jurisdictions having application to such transaction and (b)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such transaction.</w:t>
      </w:r>
    </w:p>
    <w:p>
      <w:pPr>
        <w:pStyle w:val="Normal"/>
        <w:numPr>
          <w:ilvl w:val="0"/>
          <w:numId w:val="4"/>
        </w:numPr>
        <w:tabs>
          <w:tab w:val="clear" w:pos="720"/>
          <w:tab w:val="left" w:pos="270" w:leader="none"/>
          <w:tab w:val="left" w:pos="810" w:leader="none"/>
          <w:tab w:val="left" w:pos="1080" w:leader="none"/>
          <w:tab w:val="left" w:pos="1170" w:leader="none"/>
        </w:tabs>
        <w:jc w:val="both"/>
        <w:rPr>
          <w:rFonts w:ascii="Arial Narrow" w:hAnsi="Arial Narrow" w:cs="Arial Narrow"/>
          <w:sz w:val="20"/>
        </w:rPr>
      </w:pPr>
      <w:r>
        <w:rPr>
          <w:rFonts w:cs="Arial Narrow" w:ascii="Arial Narrow" w:hAnsi="Arial Narrow"/>
          <w:b/>
          <w:sz w:val="20"/>
          <w:u w:val="single"/>
        </w:rPr>
        <w:t>Governing Law</w:t>
      </w:r>
      <w:r>
        <w:rPr>
          <w:rFonts w:cs="Arial Narrow" w:ascii="Arial Narrow" w:hAnsi="Arial Narrow"/>
          <w:sz w:val="20"/>
        </w:rPr>
        <w:t>.  The transaction and the rights and duties of the Parties hereunder shall be governed by the laws of the Province of Alberta and each Party hereby submits to the non-exclusive jurisdiction of the courts of the Province of Alberta.</w:t>
      </w:r>
    </w:p>
    <w:p>
      <w:pPr>
        <w:sectPr>
          <w:headerReference w:type="default" r:id="rId2"/>
          <w:footerReference w:type="default" r:id="rId3"/>
          <w:type w:val="nextPage"/>
          <w:pgSz w:w="12200" w:h="15840"/>
          <w:pgMar w:left="720" w:right="720" w:gutter="0" w:header="720" w:top="776" w:footer="720" w:bottom="776"/>
          <w:pgNumType w:fmt="decimal"/>
          <w:cols w:num="2" w:space="232" w:equalWidth="true" w:sep="false"/>
          <w:formProt w:val="false"/>
          <w:textDirection w:val="lrTb"/>
          <w:docGrid w:type="default" w:linePitch="360" w:charSpace="0"/>
        </w:sectPr>
        <w:pStyle w:val="Normal"/>
        <w:numPr>
          <w:ilvl w:val="0"/>
          <w:numId w:val="4"/>
        </w:numPr>
        <w:tabs>
          <w:tab w:val="clear" w:pos="720"/>
          <w:tab w:val="left" w:pos="270" w:leader="none"/>
          <w:tab w:val="left" w:pos="810" w:leader="none"/>
          <w:tab w:val="left" w:pos="1080" w:leader="none"/>
          <w:tab w:val="left" w:pos="1170" w:leader="none"/>
        </w:tabs>
        <w:jc w:val="both"/>
        <w:rPr>
          <w:rFonts w:ascii="Arial Narrow" w:hAnsi="Arial Narrow" w:cs="Arial Narrow"/>
          <w:sz w:val="20"/>
        </w:rPr>
      </w:pPr>
      <w:r>
        <w:rPr>
          <w:rFonts w:cs="Arial Narrow" w:ascii="Arial Narrow" w:hAnsi="Arial Narrow"/>
          <w:b/>
          <w:sz w:val="20"/>
          <w:u w:val="single"/>
        </w:rPr>
        <w:t>Assignment</w:t>
      </w:r>
      <w:r>
        <w:rPr>
          <w:rFonts w:cs="Arial Narrow" w:ascii="Arial Narrow" w:hAnsi="Arial Narrow"/>
          <w:sz w:val="20"/>
        </w:rPr>
        <w:t>. Neither Party shall transfer or assign this Confirmation Letter without the prior written approval of the other Party, which approval may be withheld or given entirely at the option of such Party; provided, however, either Party may (a) transfer, sell, pledge, encumber or assign this Confirmation Letter or the accounts, revenues or proceeds hereof in connection with any financing or other financial arrangements, (b) transfer or assign its interest under this Confirmation Letter to any of its affiliates, or (c) transfer or assign this Confirmation Letter to any person or entity succeeding to all or substantially all of the assets of such Party, all without the prior written approval of the other Party, but no such assignment will relieve the assigning Party of its obligations under this Confirmation Letter.</w:t>
      </w:r>
    </w:p>
    <w:p>
      <w:pPr>
        <w:pStyle w:val="Normal"/>
        <w:rPr>
          <w:rFonts w:ascii="Arial Narrow" w:hAnsi="Arial Narrow" w:cs="Arial Narrow"/>
          <w:sz w:val="20"/>
        </w:rPr>
      </w:pPr>
      <w:r>
        <w:rPr>
          <w:rFonts w:cs="Arial Narrow" w:ascii="Arial Narrow" w:hAnsi="Arial Narrow"/>
          <w:sz w:val="20"/>
        </w:rPr>
      </w:r>
    </w:p>
    <w:sectPr>
      <w:headerReference w:type="default" r:id="rId4"/>
      <w:headerReference w:type="first" r:id="rId5"/>
      <w:footerReference w:type="default" r:id="rId6"/>
      <w:footerReference w:type="first" r:id="rId7"/>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Style w:val="PageNumber"/>
        <w:rFonts w:cs="Arial Narrow" w:ascii="Arial Narrow" w:hAnsi="Arial Narrow"/>
        <w:sz w:val="18"/>
        <w:lang w:eastAsia="en-US"/>
      </w:rPr>
      <w:fldChar w:fldCharType="begin"/>
    </w:r>
    <w:r>
      <w:rPr>
        <w:rStyle w:val="PageNumber"/>
        <w:sz w:val="18"/>
        <w:rFonts w:cs="Arial Narrow" w:ascii="Arial Narrow" w:hAnsi="Arial Narrow"/>
        <w:lang w:eastAsia="en-US"/>
      </w:rPr>
      <w:instrText xml:space="preserve"> FILENAME \p </w:instrText>
    </w:r>
    <w:r>
      <w:rPr>
        <w:rStyle w:val="PageNumber"/>
        <w:sz w:val="18"/>
        <w:rFonts w:cs="Arial Narrow" w:ascii="Arial Narrow" w:hAnsi="Arial Narrow"/>
        <w:lang w:eastAsia="en-US"/>
      </w:rPr>
      <w:fldChar w:fldCharType="separate"/>
    </w:r>
    <w:r>
      <w:rPr>
        <w:rStyle w:val="PageNumber"/>
        <w:sz w:val="18"/>
        <w:rFonts w:cs="Arial Narrow" w:ascii="Arial Narrow" w:hAnsi="Arial Narrow"/>
        <w:lang w:eastAsia="en-US"/>
      </w:rPr>
      <w:t>/mnt/main-storage/datasets/enron-docs/doc/physical_power_GTC_2-1367f76a4cc13a3da0ab7ba605ee77876fb52cf030dadabb0dcc5753367fc2bc.doc</w:t>
    </w:r>
    <w:r>
      <w:rPr>
        <w:rStyle w:val="PageNumber"/>
        <w:sz w:val="18"/>
        <w:rFonts w:cs="Arial Narrow" w:ascii="Arial Narrow" w:hAnsi="Arial Narrow"/>
        <w:lang w:eastAsia="en-US"/>
      </w:rPr>
      <w:fldChar w:fldCharType="end"/>
    </w:r>
  </w:p>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r>
      <w:rPr>
        <w:rStyle w:val="PageNumber"/>
        <w:rFonts w:cs="Arial Narrow" w:ascii="Arial Narrow" w:hAnsi="Arial Narrow"/>
        <w:sz w:val="18"/>
      </w:rPr>
      <w:t xml:space="preserve"> of 3</w:t>
    </w:r>
  </w:p>
  <w:p>
    <w:pPr>
      <w:pStyle w:val="Footer"/>
      <w:jc w:val="center"/>
      <w:rPr/>
    </w:pPr>
    <w:r>
      <w:rPr>
        <w:rStyle w:val="PageNumber"/>
        <w:rFonts w:cs="Arial Narrow" w:ascii="Arial Narrow" w:hAnsi="Arial Narrow"/>
        <w:sz w:val="18"/>
      </w:rPr>
      <w:t xml:space="preserve">Annex A </w:t>
    </w:r>
    <w:r>
      <w:rPr>
        <w:rFonts w:cs="Arial Narrow" w:ascii="Arial Narrow" w:hAnsi="Arial Narrow"/>
        <w:sz w:val="18"/>
      </w:rPr>
      <w:t xml:space="preserve"> </w:t>
    </w:r>
  </w:p>
  <w:p>
    <w:pPr>
      <w:pStyle w:val="Foo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smallCaps/>
        <w:sz w:val="18"/>
      </w:rPr>
    </w:pPr>
    <w:r>
      <w:rPr>
        <w:rFonts w:cs="Arial Narrow" w:ascii="Arial Narrow" w:hAnsi="Arial Narrow"/>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2"/>
      <w:numFmt w:val="lowerLetter"/>
      <w:lvlText w:val="(%1)"/>
      <w:lvlJc w:val="start"/>
      <w:pPr>
        <w:tabs>
          <w:tab w:val="num" w:pos="360"/>
        </w:tabs>
        <w:ind w:start="360" w:hanging="360"/>
      </w:pPr>
      <w:rPr/>
    </w:lvl>
  </w:abstractNum>
  <w:abstractNum w:abstractNumId="4">
    <w:lvl w:ilvl="0">
      <w:start w:val="5"/>
      <w:numFmt w:val="decimal"/>
      <w:lvlText w:val="%1."/>
      <w:lvlJc w:val="start"/>
      <w:pPr>
        <w:tabs>
          <w:tab w:val="num" w:pos="36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2000-11-02T16:24:00Z</dcterms:created>
  <dc:creator>appinst</dc:creator>
  <dc:description/>
  <dc:language>en-CA</dc:language>
  <cp:lastModifiedBy>gjohnst</cp:lastModifiedBy>
  <cp:lastPrinted>2000-10-26T14:01:00Z</cp:lastPrinted>
  <dcterms:modified xsi:type="dcterms:W3CDTF">2000-11-02T18:22:00Z</dcterms:modified>
  <cp:revision>4</cp:revision>
  <dc:subject/>
  <dc:title>	 </dc:title>
</cp:coreProperties>
</file>