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ind w:firstLine="720" w:start="3600" w:end="0"/>
        <w:rPr/>
      </w:pPr>
      <w:r>
        <w:rPr/>
        <w:t>April 7, 1999</w:t>
      </w:r>
    </w:p>
    <w:p>
      <w:pPr>
        <w:pStyle w:val="Normal"/>
        <w:rPr/>
      </w:pPr>
      <w:r>
        <w:rPr/>
      </w:r>
    </w:p>
    <w:p>
      <w:pPr>
        <w:pStyle w:val="Heading1"/>
        <w:ind w:hanging="0" w:start="0"/>
        <w:rPr/>
      </w:pPr>
      <w:r>
        <w:rPr/>
        <w:t>Via Facsimile: (415) 973-6112</w:t>
      </w:r>
    </w:p>
    <w:p>
      <w:pPr>
        <w:pStyle w:val="Normal"/>
        <w:rPr/>
      </w:pPr>
      <w:r>
        <w:rPr/>
        <w:t>Mr. Rodney A. Boschee</w:t>
      </w:r>
    </w:p>
    <w:p>
      <w:pPr>
        <w:pStyle w:val="Normal"/>
        <w:rPr/>
      </w:pPr>
      <w:r>
        <w:rPr/>
        <w:t>Director, Contract Development and Management</w:t>
      </w:r>
    </w:p>
    <w:p>
      <w:pPr>
        <w:pStyle w:val="Normal"/>
        <w:rPr/>
      </w:pPr>
      <w:r>
        <w:rPr/>
        <w:t>Pacific Gas &amp; Electric Company</w:t>
      </w:r>
    </w:p>
    <w:p>
      <w:pPr>
        <w:pStyle w:val="Normal"/>
        <w:rPr/>
      </w:pPr>
      <w:r>
        <w:rPr/>
        <w:t>77 Beale Street</w:t>
      </w:r>
    </w:p>
    <w:p>
      <w:pPr>
        <w:pStyle w:val="Normal"/>
        <w:rPr/>
      </w:pPr>
      <w:r>
        <w:rPr/>
        <w:t>San Francisco, CA 74105</w:t>
      </w:r>
    </w:p>
    <w:p>
      <w:pPr>
        <w:pStyle w:val="Normal"/>
        <w:rPr/>
      </w:pPr>
      <w:r>
        <w:rPr/>
      </w:r>
    </w:p>
    <w:p>
      <w:pPr>
        <w:pStyle w:val="Normal"/>
        <w:rPr/>
      </w:pPr>
      <w:r>
        <w:rPr/>
        <w:t>Dear Mr. Boschee:</w:t>
      </w:r>
    </w:p>
    <w:p>
      <w:pPr>
        <w:pStyle w:val="Normal"/>
        <w:rPr/>
      </w:pPr>
      <w:r>
        <w:rPr/>
      </w:r>
    </w:p>
    <w:p>
      <w:pPr>
        <w:pStyle w:val="Normal"/>
        <w:rPr/>
      </w:pPr>
      <w:r>
        <w:rPr/>
        <w:t>Transwestern notified you by letter dated April 2, 1999, that it intended to modify and institute a more aggressive Interim Plan to address the high concentration of PCB’s detected at the sample points upstream of PG&amp;E’s mainline system at Topock.  In its letter to you, TW stated that it thought the decontamination process contemplated in the revised Interim Plan would not be accomplished until after the proposed Selexol flushing process.  However, upon further examination, TW now believes that some interim benefit may be achieved by effectuating the decontamination of its filter/separation equipment as soon as possible, along with replacing the filter units with new, clean ones.</w:t>
      </w:r>
    </w:p>
    <w:p>
      <w:pPr>
        <w:pStyle w:val="Normal"/>
        <w:rPr/>
      </w:pPr>
      <w:r>
        <w:rPr/>
      </w:r>
    </w:p>
    <w:p>
      <w:pPr>
        <w:pStyle w:val="Normal"/>
        <w:rPr/>
      </w:pPr>
      <w:r>
        <w:rPr/>
        <w:t>This letter is written to notify you that on or about April 8, 1999, TW has scheduled the decontamination of its filter/separator units located at the Golden Shores selexol plant as well as the filter separator at its meter station immediately upstream of your compressor station.  The 3</w:t>
      </w:r>
      <w:r>
        <w:rPr>
          <w:vertAlign w:val="superscript"/>
        </w:rPr>
        <w:t>rd</w:t>
      </w:r>
      <w:r>
        <w:rPr/>
        <w:t xml:space="preserve"> party contractor estimates the decontamination process will take approximately 8 – 12 hours to complete.  We will coordinate the precise timing of this activity with your operations team at Topock.</w:t>
      </w:r>
    </w:p>
    <w:p>
      <w:pPr>
        <w:pStyle w:val="Normal"/>
        <w:rPr/>
      </w:pPr>
      <w:r>
        <w:rPr/>
      </w:r>
    </w:p>
    <w:p>
      <w:pPr>
        <w:pStyle w:val="Normal"/>
        <w:rPr/>
      </w:pPr>
      <w:r>
        <w:rPr/>
        <w:t xml:space="preserve">We hope that the urgency and swiftness of TW’s response in this matter is indicative of our commitment to the ultimate resolution of the PCB issue in the Topock system.  We look forward to discussing with your team all of the Interim, revised Interim and Long-Term Plans at our meeting scheduled for April 13.  Call me if you have any questions regarding this matter. </w:t>
      </w:r>
    </w:p>
    <w:p>
      <w:pPr>
        <w:pStyle w:val="Normal"/>
        <w:rPr/>
      </w:pPr>
      <w:r>
        <w:rPr/>
      </w:r>
    </w:p>
    <w:p>
      <w:pPr>
        <w:pStyle w:val="Normal"/>
        <w:ind w:firstLine="720" w:start="3600" w:end="0"/>
        <w:rPr/>
      </w:pPr>
      <w:r>
        <w:rPr/>
        <w:t>Sincerely,</w:t>
      </w:r>
    </w:p>
    <w:p>
      <w:pPr>
        <w:pStyle w:val="Normal"/>
        <w:rPr/>
      </w:pPr>
      <w:r>
        <w:rPr/>
      </w:r>
    </w:p>
    <w:p>
      <w:pPr>
        <w:pStyle w:val="Normal"/>
        <w:rPr/>
      </w:pPr>
      <w:r>
        <w:rPr/>
      </w:r>
    </w:p>
    <w:p>
      <w:pPr>
        <w:pStyle w:val="Normal"/>
        <w:rPr/>
      </w:pPr>
      <w:r>
        <w:rPr/>
      </w:r>
    </w:p>
    <w:p>
      <w:pPr>
        <w:pStyle w:val="Normal"/>
        <w:ind w:firstLine="720" w:start="3600" w:end="0"/>
        <w:rPr/>
      </w:pPr>
      <w:r>
        <w:rPr/>
        <w:t>Michel E. Nelson</w:t>
      </w:r>
    </w:p>
    <w:p>
      <w:pPr>
        <w:pStyle w:val="Normal"/>
        <w:ind w:firstLine="720" w:start="3600" w:end="0"/>
        <w:rPr/>
      </w:pPr>
      <w:r>
        <w:rPr/>
        <w:t>Vice President</w:t>
      </w:r>
    </w:p>
    <w:sectPr>
      <w:headerReference w:type="default" r:id="rId2"/>
      <w:headerReference w:type="first" r:id="rId3"/>
      <w:type w:val="nextPage"/>
      <w:pgSz w:w="12240" w:h="15840"/>
      <w:pgMar w:left="1800" w:right="1800" w:gutter="0" w:header="720" w:top="1440" w:footer="0" w:bottom="86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Style w:val="PageNumber"/>
        <w:sz w:val="24"/>
      </w:rPr>
    </w:pPr>
    <w:r>
      <w:rPr/>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p>
    <w:pPr>
      <w:pStyle w:val="Header"/>
      <w:rPr/>
    </w:pPr>
    <w:r>
      <w:rPr>
        <w:rStyle w:val="PageNumber"/>
        <w:sz w:val="24"/>
      </w:rPr>
      <w:t>Rod Boschee</w:t>
    </w:r>
  </w:p>
  <w:p>
    <w:pPr>
      <w:pStyle w:val="Header"/>
      <w:rPr/>
    </w:pPr>
    <w:r>
      <w:rPr>
        <w:rStyle w:val="PageNumber"/>
        <w:sz w:val="24"/>
      </w:rPr>
      <w:t>April 2, 1999</w:t>
    </w:r>
  </w:p>
  <w:p>
    <w:pPr>
      <w:pStyle w:val="Header"/>
      <w:rPr>
        <w:rStyle w:val="PageNumber"/>
        <w:sz w:val="24"/>
      </w:rPr>
    </w:pPr>
    <w:r>
      <w:rPr/>
    </w:r>
  </w:p>
  <w:p>
    <w:pPr>
      <w:pStyle w:val="Header"/>
      <w:rPr>
        <w:rStyle w:val="PageNumber"/>
        <w:sz w:val="24"/>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u w:val="single"/>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1999-04-07T17:59:00Z</dcterms:created>
  <dc:creator>mpierce</dc:creator>
  <dc:description/>
  <dc:language>en-CA</dc:language>
  <cp:lastModifiedBy>jeffery c. fawcett</cp:lastModifiedBy>
  <cp:lastPrinted>1999-04-07T15:27:00Z</cp:lastPrinted>
  <dcterms:modified xsi:type="dcterms:W3CDTF">1999-04-07T17:59:00Z</dcterms:modified>
  <cp:revision>2</cp:revision>
  <dc:subject/>
  <dc:title>April 2, 1999</dc:title>
</cp:coreProperties>
</file>