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pptx" ContentType="application/vnd.openxmlformats-officedocument.presentationml.presentation"/>
  <Override PartName="/word/embeddings/oleObject2.pptx" ContentType="application/vnd.openxmlformats-officedocument.presentationml.presentation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bCs/>
        </w:rPr>
      </w:pPr>
      <w:r>
        <w:rPr>
          <w:b/>
          <w:bCs/>
        </w:rPr>
        <w:t>PGE 3Q IBIT/Sensitivity to power prices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INTERNAL SUMMARY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PGE buys power in advance of its needs to allow for load and reliability balancing beyond their generation capabilities.  PG&amp;E is typically long 200-300 average megawatts.  These positions are typically entered into 1 to 2 years in advance.  The excess positions are sold in the spot (hourly) market.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PGE benefited during the 3</w:t>
      </w:r>
      <w:r>
        <w:rPr>
          <w:vertAlign w:val="superscript"/>
        </w:rPr>
        <w:t>rd</w:t>
      </w:r>
      <w:r>
        <w:rPr/>
        <w:t xml:space="preserve"> and 4</w:t>
      </w:r>
      <w:r>
        <w:rPr>
          <w:vertAlign w:val="superscript"/>
        </w:rPr>
        <w:t>th</w:t>
      </w:r>
      <w:r>
        <w:rPr/>
        <w:t xml:space="preserve"> quarters 2000 by selling into high prices.  As a precaution against prices falling, they instituted a cost adjustment mechanism with ranges for cost sharing based on total power costs.  In 2Q01, PGE entered an unfavorable range of the sharing mechanism, where they bear 100% of the upside/downside within a range.  As a result of downward trending power pricing and the cost of power outpacing the sharing under the arrangement, PGE IBIT may be flat/slightly negative for 3Q01.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On 10/1/01, a new cost mechanism begins.  PGE expects to meet internal target of $110M for 2001, based on YTD performance and additional adjustment mechanisms, which are being executed for 4Q01 and into 2002.</w:t>
      </w:r>
    </w:p>
    <w:p>
      <w:pPr>
        <w:pStyle w:val="Normal"/>
        <w:jc w:val="both"/>
        <w:rPr/>
      </w:pPr>
      <w:r>
        <w:rPr/>
      </w:r>
    </w:p>
    <w:p>
      <w:pPr>
        <w:pStyle w:val="Heading1"/>
        <w:ind w:hanging="0" w:start="0"/>
        <w:jc w:val="both"/>
        <w:rPr>
          <w:u w:val="single"/>
        </w:rPr>
      </w:pPr>
      <w:r>
        <w:rPr>
          <w:u w:val="single"/>
        </w:rPr>
        <w:t>BACKGROUND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The methodology for the current 9-month mechanism is as follows: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A band with a ceiling and a floor has been negotiated on a quarterly and a cumulative basis for the nine-month period.</w:t>
      </w:r>
    </w:p>
    <w:p>
      <w:pPr>
        <w:pStyle w:val="Heading2"/>
        <w:rPr/>
      </w:pPr>
      <w:r>
        <w:rPr/>
        <w:t xml:space="preserve">     </w:t>
      </w:r>
      <w:r>
        <w:rPr/>
        <w:t>Total Costs</w:t>
        <w:tab/>
        <w:tab/>
        <w:tab/>
        <w:t>PGE/Customer</w:t>
      </w:r>
    </w:p>
    <w:p>
      <w:pPr>
        <w:pStyle w:val="Normal"/>
        <w:ind w:firstLine="360" w:start="720" w:end="0"/>
        <w:jc w:val="both"/>
        <w:rPr/>
      </w:pPr>
      <w:r>
        <w:rPr/>
        <w:t xml:space="preserve">$140M to $211M </w:t>
        <w:tab/>
        <w:tab/>
        <w:tab/>
        <w:t>100% PGE (deadband)</w:t>
      </w:r>
    </w:p>
    <w:p>
      <w:pPr>
        <w:pStyle w:val="Normal"/>
        <w:ind w:start="720" w:end="0"/>
        <w:jc w:val="both"/>
        <w:rPr/>
      </w:pPr>
      <w:r>
        <w:rPr/>
        <w:t xml:space="preserve">      </w:t>
      </w:r>
      <w:r>
        <w:rPr/>
        <w:t xml:space="preserve">$211M to $232M </w:t>
        <w:tab/>
        <w:tab/>
        <w:tab/>
        <w:t xml:space="preserve">50%/50% </w:t>
      </w:r>
    </w:p>
    <w:p>
      <w:pPr>
        <w:pStyle w:val="Normal"/>
        <w:ind w:start="720" w:end="0"/>
        <w:jc w:val="both"/>
        <w:rPr/>
      </w:pPr>
      <w:r>
        <w:rPr/>
        <w:t xml:space="preserve">      </w:t>
      </w:r>
      <w:r>
        <w:rPr/>
        <w:t>Above $232M</w:t>
        <w:tab/>
        <w:tab/>
        <w:tab/>
        <w:t>10%/90%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At 6/30/01, PGE was in the 100% PGE band, ($105M), but did not significantly impact the financials as this amount was sufficient to cover power generation costs.)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It is expected that the 9 mo. total costs will rise to $325M, which will potentially expose PGE for approx. $35MM (comprised of 100% of the risk of the deadband to the extent that total costs to be recovered are lower than increases in the costs of power, 50% of the risk between $211MM to $232MM and 10% of exposure above $232MM.)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To reduce the exposure for fourth quarter 2001 and 2002, PG&amp;E is in the process of finalizing a similar cost adjustment mechanism for a 15-month period ending December 31, 2002.  The structure mechanism will have additional features: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A tighter band than the 2001 mechanism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Tiers of sharing, with less sharing as the variance between forecasted power costs and actual power costs is larger, positive or negative.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Forecasted power costs set using actual reservoir levels, and expected rainfall, significantly reducing forecasted available hydro</w:t>
      </w:r>
    </w:p>
    <w:p>
      <w:pPr>
        <w:pStyle w:val="Normal"/>
        <w:numPr>
          <w:ilvl w:val="1"/>
          <w:numId w:val="2"/>
        </w:numPr>
        <w:pBdr>
          <w:bottom w:val="dotted" w:sz="24" w:space="1" w:color="000000"/>
        </w:pBdr>
        <w:jc w:val="both"/>
        <w:rPr/>
      </w:pPr>
      <w:r>
        <w:rPr/>
        <w:t>PG&amp;E will file the forecasted power costs on or around August 15, reflecting trades and purchases through the end of July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>
          <w:b/>
          <w:bCs/>
          <w:u w:val="single"/>
        </w:rPr>
        <w:t>EXHIBIT 1</w:t>
      </w:r>
      <w:r>
        <w:rPr/>
        <w:t>:  9 Month adjustment structure</w:t>
      </w:r>
    </w:p>
    <w:p>
      <w:pPr>
        <w:pStyle w:val="Normal"/>
        <w:rPr/>
      </w:pPr>
      <w:r>
        <w:rPr/>
        <w:object w:dxaOrig="14400" w:dyaOrig="108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14pt;height:310.5pt" filled="f" o:ole="">
            <v:imagedata r:id="rId3" o:title=""/>
          </v:shape>
          <o:OLEObject Type="Embed" ProgID="PowerPoint.Show.12" ShapeID="ole_rId2" DrawAspect="Content" ObjectID="_687869190" r:id="rId2"/>
        </w:object>
      </w:r>
    </w:p>
    <w:p>
      <w:pPr>
        <w:pStyle w:val="Normal"/>
        <w:rPr/>
      </w:pPr>
      <w:r>
        <w:rPr>
          <w:b/>
          <w:bCs/>
          <w:u w:val="single"/>
        </w:rPr>
        <w:t>Exhibit II:</w:t>
      </w:r>
      <w:r>
        <w:rPr/>
        <w:t xml:space="preserve">  15 month adjustment from October1, 2001 to December 31, 2002</w:t>
      </w:r>
    </w:p>
    <w:p>
      <w:pPr>
        <w:pStyle w:val="Normal"/>
        <w:rPr/>
      </w:pPr>
      <w:r>
        <w:rPr/>
        <w:object w:dxaOrig="14400" w:dyaOrig="1080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387pt;height:290.25pt" filled="f" o:ole="">
            <v:imagedata r:id="rId5" o:title=""/>
          </v:shape>
          <o:OLEObject Type="Embed" ProgID="PowerPoint.Show.12" ShapeID="ole_rId4" DrawAspect="Content" ObjectID="_867467269" r:id="rId4"/>
        </w:object>
      </w:r>
    </w:p>
    <w:sectPr>
      <w:type w:val="nextPage"/>
      <w:pgSz w:w="12240" w:h="15840"/>
      <w:pgMar w:left="1800" w:right="1800" w:gutter="0" w:header="0" w:top="1152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pptx"/><Relationship Id="rId3" Type="http://schemas.openxmlformats.org/officeDocument/2006/relationships/image" Target="media/image1.wmf"/><Relationship Id="rId4" Type="http://schemas.openxmlformats.org/officeDocument/2006/relationships/package" Target="embeddings/oleObject2.pptx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2001-07-30T10:35:00Z</dcterms:created>
  <dc:creator>app_test</dc:creator>
  <dc:description/>
  <dc:language>en-CA</dc:language>
  <cp:lastModifiedBy>Paula Rieker</cp:lastModifiedBy>
  <dcterms:modified xsi:type="dcterms:W3CDTF">2001-07-30T10:35:00Z</dcterms:modified>
  <cp:revision>2</cp:revision>
  <dc:subject/>
  <dc:title>ENRON CORP</dc:title>
</cp:coreProperties>
</file>