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Pacific Gas and Electric Company</w:t>
      </w:r>
    </w:p>
    <w:p>
      <w:pPr>
        <w:pStyle w:val="Heading"/>
        <w:rPr/>
      </w:pPr>
      <w:r>
        <w:rPr/>
        <w:t>Summer 2001 Generator Interconnection Status</w:t>
      </w:r>
    </w:p>
    <w:p>
      <w:pPr>
        <w:pStyle w:val="Normal"/>
        <w:jc w:val="center"/>
        <w:rPr/>
      </w:pPr>
      <w:r>
        <w:rPr/>
        <w:t>Monthly Report to CPUC Required under AB 970 OII</w:t>
      </w:r>
    </w:p>
    <w:p>
      <w:pPr>
        <w:pStyle w:val="Normal"/>
        <w:jc w:val="center"/>
        <w:rPr/>
      </w:pPr>
      <w:r>
        <w:rPr/>
        <w:t>6/1/2001</w:t>
      </w:r>
    </w:p>
    <w:p>
      <w:pPr>
        <w:pStyle w:val="Normal"/>
        <w:rPr>
          <w:rFonts w:ascii="Arial" w:hAnsi="Arial" w:eastAsia="Arial" w:cs="Arial"/>
          <w:b/>
          <w:bCs/>
          <w:sz w:val="20"/>
          <w:szCs w:val="20"/>
        </w:rPr>
      </w:pPr>
      <w:r>
        <w:rPr>
          <w:rFonts w:eastAsia="Arial" w:cs="Arial" w:ascii="Arial" w:hAnsi="Arial"/>
          <w:b/>
          <w:bCs/>
          <w:sz w:val="20"/>
          <w:szCs w:val="20"/>
        </w:rPr>
        <w:t>Status Summary:</w:t>
      </w:r>
    </w:p>
    <w:p>
      <w:pPr>
        <w:pStyle w:val="Normal"/>
        <w:spacing w:before="0" w:after="60"/>
        <w:rPr>
          <w:rFonts w:ascii="Arial" w:hAnsi="Arial" w:eastAsia="Arial" w:cs="Arial"/>
          <w:sz w:val="20"/>
          <w:szCs w:val="20"/>
        </w:rPr>
      </w:pPr>
      <w:r>
        <w:rPr>
          <w:rFonts w:eastAsia="Arial" w:cs="Arial" w:ascii="Arial" w:hAnsi="Arial"/>
          <w:sz w:val="20"/>
          <w:szCs w:val="20"/>
        </w:rPr>
        <w:t>Of the 12 remaining CAISO 2001 Summer Reliability Generation projects in PG&amp;E’s service area (representing 545 MW):</w:t>
      </w:r>
    </w:p>
    <w:p>
      <w:pPr>
        <w:pStyle w:val="Normal"/>
        <w:tabs>
          <w:tab w:val="left" w:pos="720" w:leader="none"/>
        </w:tabs>
        <w:ind w:start="320" w:end="0"/>
        <w:rPr>
          <w:rFonts w:ascii="Arial" w:hAnsi="Arial" w:eastAsia="Arial" w:cs="Arial"/>
          <w:sz w:val="20"/>
          <w:szCs w:val="20"/>
        </w:rPr>
      </w:pPr>
      <w:r>
        <w:rPr>
          <w:rFonts w:eastAsia="Arial" w:cs="Arial" w:ascii="Arial" w:hAnsi="Arial"/>
          <w:sz w:val="20"/>
          <w:szCs w:val="20"/>
        </w:rPr>
        <w:t xml:space="preserve">NEO, Chowchilla, 49 MW: First 24 MW on-line May 28 with next 25 MW soon to follow. </w:t>
      </w:r>
    </w:p>
    <w:p>
      <w:pPr>
        <w:pStyle w:val="Normal"/>
        <w:tabs>
          <w:tab w:val="left" w:pos="720" w:leader="none"/>
        </w:tabs>
        <w:ind w:start="320" w:end="0"/>
        <w:rPr/>
      </w:pPr>
      <w:r>
        <w:rPr>
          <w:rFonts w:eastAsia="Arial" w:cs="Arial" w:ascii="Arial" w:hAnsi="Arial"/>
          <w:sz w:val="20"/>
          <w:szCs w:val="20"/>
        </w:rPr>
        <w:t>NEO, Red Bluff, 49 MW and Wellhead, Fresno,</w:t>
      </w:r>
      <w:r>
        <w:rPr>
          <w:rFonts w:eastAsia="Arial" w:cs="Arial" w:ascii="Arial" w:hAnsi="Arial"/>
          <w:b/>
          <w:bCs/>
          <w:sz w:val="20"/>
          <w:szCs w:val="20"/>
        </w:rPr>
        <w:t xml:space="preserve"> </w:t>
      </w:r>
      <w:r>
        <w:rPr>
          <w:rFonts w:eastAsia="Arial" w:cs="Arial" w:ascii="Arial" w:hAnsi="Arial"/>
          <w:sz w:val="20"/>
          <w:szCs w:val="20"/>
        </w:rPr>
        <w:t>18 MW, have estimated on-line dates in June.</w:t>
      </w:r>
    </w:p>
    <w:p>
      <w:pPr>
        <w:pStyle w:val="Normal"/>
        <w:tabs>
          <w:tab w:val="left" w:pos="720" w:leader="none"/>
        </w:tabs>
        <w:ind w:start="320" w:end="0"/>
        <w:rPr/>
      </w:pPr>
      <w:r>
        <w:rPr>
          <w:rFonts w:eastAsia="Arial" w:cs="Arial" w:ascii="Arial" w:hAnsi="Arial"/>
          <w:sz w:val="20"/>
          <w:szCs w:val="20"/>
        </w:rPr>
        <w:t>Wellhead, near Gates and Panoche substations,</w:t>
      </w:r>
      <w:r>
        <w:rPr>
          <w:rFonts w:eastAsia="Arial" w:cs="Arial" w:ascii="Arial" w:hAnsi="Arial"/>
          <w:b/>
          <w:bCs/>
          <w:sz w:val="20"/>
          <w:szCs w:val="20"/>
        </w:rPr>
        <w:t xml:space="preserve"> </w:t>
      </w:r>
      <w:r>
        <w:rPr>
          <w:rFonts w:eastAsia="Arial" w:cs="Arial" w:ascii="Arial" w:hAnsi="Arial"/>
          <w:sz w:val="20"/>
          <w:szCs w:val="20"/>
        </w:rPr>
        <w:t>49 MW each, Negotiating GSFA language with PG&amp;E.</w:t>
      </w:r>
    </w:p>
    <w:p>
      <w:pPr>
        <w:pStyle w:val="Normal"/>
        <w:tabs>
          <w:tab w:val="left" w:pos="720" w:leader="none"/>
        </w:tabs>
        <w:ind w:start="320" w:end="0"/>
        <w:rPr>
          <w:rFonts w:ascii="Arial" w:hAnsi="Arial" w:eastAsia="Arial" w:cs="Arial"/>
          <w:b/>
          <w:bCs/>
          <w:sz w:val="20"/>
          <w:szCs w:val="20"/>
        </w:rPr>
      </w:pPr>
      <w:r>
        <w:rPr>
          <w:rFonts w:eastAsia="Arial" w:cs="Arial" w:ascii="Arial" w:hAnsi="Arial"/>
          <w:sz w:val="20"/>
          <w:szCs w:val="20"/>
        </w:rPr>
        <w:t>Wellhead, near Tesla substation, 49 MW, On hold per the generator.</w:t>
      </w:r>
    </w:p>
    <w:p>
      <w:pPr>
        <w:pStyle w:val="Normal"/>
        <w:tabs>
          <w:tab w:val="left" w:pos="720" w:leader="none"/>
        </w:tabs>
        <w:ind w:start="320" w:end="0"/>
        <w:rPr/>
      </w:pPr>
      <w:r>
        <w:rPr>
          <w:rFonts w:eastAsia="Arial" w:cs="Arial" w:ascii="Arial" w:hAnsi="Arial"/>
          <w:sz w:val="20"/>
          <w:szCs w:val="20"/>
        </w:rPr>
        <w:t>Wellhead, Stockton,</w:t>
      </w:r>
      <w:r>
        <w:rPr>
          <w:rFonts w:eastAsia="Arial" w:cs="Arial" w:ascii="Arial" w:hAnsi="Arial"/>
          <w:b/>
          <w:bCs/>
          <w:sz w:val="20"/>
          <w:szCs w:val="20"/>
        </w:rPr>
        <w:t xml:space="preserve"> </w:t>
      </w:r>
      <w:r>
        <w:rPr>
          <w:rFonts w:eastAsia="Arial" w:cs="Arial" w:ascii="Arial" w:hAnsi="Arial"/>
          <w:sz w:val="20"/>
          <w:szCs w:val="20"/>
        </w:rPr>
        <w:t>22 MW, Cancelled per the generator.</w:t>
      </w:r>
    </w:p>
    <w:p>
      <w:pPr>
        <w:pStyle w:val="Normal"/>
        <w:tabs>
          <w:tab w:val="left" w:pos="720" w:leader="none"/>
        </w:tabs>
        <w:ind w:start="320" w:end="0"/>
        <w:rPr/>
      </w:pPr>
      <w:r>
        <w:rPr>
          <w:rFonts w:eastAsia="Arial" w:cs="Arial" w:ascii="Arial" w:hAnsi="Arial"/>
          <w:sz w:val="20"/>
          <w:szCs w:val="20"/>
        </w:rPr>
        <w:t>CalPeak, Vaca Dixon and Midway substations, 49 MW each</w:t>
      </w:r>
      <w:r>
        <w:rPr>
          <w:rFonts w:eastAsia="Arial" w:cs="Arial" w:ascii="Arial" w:hAnsi="Arial"/>
          <w:b/>
          <w:bCs/>
          <w:sz w:val="20"/>
          <w:szCs w:val="20"/>
        </w:rPr>
        <w:t xml:space="preserve">, </w:t>
      </w:r>
      <w:r>
        <w:rPr>
          <w:rFonts w:eastAsia="Arial" w:cs="Arial" w:ascii="Arial" w:hAnsi="Arial"/>
          <w:sz w:val="20"/>
          <w:szCs w:val="20"/>
        </w:rPr>
        <w:t>GSFA signed and PG&amp;E lease in final negotiations.</w:t>
      </w:r>
    </w:p>
    <w:p>
      <w:pPr>
        <w:pStyle w:val="Normal"/>
        <w:tabs>
          <w:tab w:val="left" w:pos="720" w:leader="none"/>
        </w:tabs>
        <w:ind w:start="320" w:end="0"/>
        <w:rPr>
          <w:rFonts w:ascii="Arial" w:hAnsi="Arial" w:eastAsia="Arial" w:cs="Arial"/>
          <w:b/>
          <w:bCs/>
          <w:sz w:val="20"/>
          <w:szCs w:val="20"/>
        </w:rPr>
      </w:pPr>
      <w:r>
        <w:rPr>
          <w:rFonts w:eastAsia="Arial" w:cs="Arial" w:ascii="Arial" w:hAnsi="Arial"/>
          <w:sz w:val="20"/>
          <w:szCs w:val="20"/>
        </w:rPr>
        <w:t>CalPeak, Panoche substation, 49 MW, GSFA signed, PG&amp;E lease in final negotiations and CEQA permit approved.</w:t>
      </w:r>
    </w:p>
    <w:p>
      <w:pPr>
        <w:pStyle w:val="Normal"/>
        <w:tabs>
          <w:tab w:val="left" w:pos="720" w:leader="none"/>
        </w:tabs>
        <w:ind w:start="320" w:end="0"/>
        <w:rPr>
          <w:rFonts w:ascii="Arial" w:hAnsi="Arial" w:eastAsia="Arial" w:cs="Arial"/>
          <w:b/>
          <w:bCs/>
          <w:sz w:val="20"/>
          <w:szCs w:val="20"/>
        </w:rPr>
      </w:pPr>
      <w:r>
        <w:rPr>
          <w:rFonts w:eastAsia="Arial" w:cs="Arial" w:ascii="Arial" w:hAnsi="Arial"/>
          <w:sz w:val="20"/>
          <w:szCs w:val="20"/>
        </w:rPr>
        <w:t>Panda, Lambie Industrial Park, 135 MW, Negotiating GSFA/SFA language with PG&amp;E.</w:t>
      </w:r>
    </w:p>
    <w:p>
      <w:pPr>
        <w:pStyle w:val="Normal"/>
        <w:spacing w:before="0" w:after="60"/>
        <w:rPr>
          <w:rFonts w:ascii="Arial" w:hAnsi="Arial" w:eastAsia="Arial" w:cs="Arial"/>
          <w:sz w:val="20"/>
          <w:szCs w:val="20"/>
        </w:rPr>
      </w:pPr>
      <w:r>
        <w:rPr>
          <w:rFonts w:eastAsia="Arial" w:cs="Arial" w:ascii="Arial" w:hAnsi="Arial"/>
          <w:sz w:val="20"/>
          <w:szCs w:val="20"/>
        </w:rPr>
        <w:t xml:space="preserve">Seven ISO RFB projects, representing 303 MW—Tenaska Vaca Dixon, Mt. Poso Bakersfield, Ramco Livermore, Ramco Pleasanton, Tejas Antioch, Tejas Oakley, Wellhead Stockton—have canceled or relocated out of PG&amp;E’s service territory. </w:t>
      </w:r>
    </w:p>
    <w:p>
      <w:pPr>
        <w:pStyle w:val="Normal"/>
        <w:rPr>
          <w:rFonts w:ascii="Arial" w:hAnsi="Arial" w:eastAsia="Arial" w:cs="Arial"/>
          <w:sz w:val="20"/>
          <w:szCs w:val="20"/>
        </w:rPr>
      </w:pPr>
      <w:r>
        <w:rPr>
          <w:rFonts w:eastAsia="Arial" w:cs="Arial" w:ascii="Arial" w:hAnsi="Arial"/>
          <w:sz w:val="20"/>
          <w:szCs w:val="20"/>
        </w:rPr>
      </w:r>
    </w:p>
    <w:p>
      <w:pPr>
        <w:pStyle w:val="Heading6"/>
        <w:ind w:hanging="0" w:start="0"/>
        <w:rPr>
          <w:rFonts w:ascii="Arial" w:hAnsi="Arial" w:eastAsia="Arial" w:cs="Arial"/>
          <w:sz w:val="20"/>
          <w:szCs w:val="20"/>
        </w:rPr>
      </w:pPr>
      <w:r>
        <w:rPr>
          <w:rFonts w:eastAsia="Arial" w:cs="Arial" w:ascii="Arial" w:hAnsi="Arial"/>
          <w:sz w:val="20"/>
          <w:szCs w:val="20"/>
        </w:rPr>
        <w:t>Forecast:</w:t>
      </w:r>
    </w:p>
    <w:p>
      <w:pPr>
        <w:pStyle w:val="Normal"/>
        <w:rPr>
          <w:rFonts w:ascii="Arial" w:hAnsi="Arial" w:eastAsia="Arial" w:cs="Arial"/>
          <w:sz w:val="20"/>
          <w:szCs w:val="20"/>
        </w:rPr>
      </w:pPr>
      <w:r>
        <w:rPr>
          <w:rFonts w:eastAsia="Arial" w:cs="Arial" w:ascii="Arial" w:hAnsi="Arial"/>
          <w:sz w:val="20"/>
          <w:szCs w:val="20"/>
        </w:rPr>
        <w:t xml:space="preserve">The four projects with signed GSFAs are the most likely to be interconnected this summer.  The other nine projects are less likely to be interconnected during Summer 2001, i.e. by September 30.  Under PG&amp;E’s original internal schedule for these Summer 2001 projects, we believed that a July 1, 2001, interconnection date was feasible if we received a signed GSFA in early November 2000.  Thus, these nine projects are at least six months behind the original internal schedule.  </w:t>
      </w:r>
    </w:p>
    <w:p>
      <w:pPr>
        <w:pStyle w:val="Normal"/>
        <w:rPr>
          <w:rFonts w:ascii="Arial" w:hAnsi="Arial" w:eastAsia="Arial" w:cs="Arial"/>
          <w:sz w:val="20"/>
          <w:szCs w:val="20"/>
        </w:rPr>
      </w:pPr>
      <w:r>
        <w:rPr>
          <w:rFonts w:eastAsia="Arial" w:cs="Arial" w:ascii="Arial" w:hAnsi="Arial"/>
          <w:sz w:val="20"/>
          <w:szCs w:val="20"/>
        </w:rPr>
        <w:t xml:space="preserve"> </w:t>
      </w:r>
    </w:p>
    <w:p>
      <w:pPr>
        <w:pStyle w:val="Heading6"/>
        <w:ind w:hanging="0" w:start="0"/>
        <w:rPr>
          <w:rFonts w:ascii="Arial" w:hAnsi="Arial" w:eastAsia="Arial" w:cs="Arial"/>
          <w:sz w:val="20"/>
          <w:szCs w:val="20"/>
        </w:rPr>
      </w:pPr>
      <w:r>
        <w:rPr>
          <w:rFonts w:eastAsia="Arial" w:cs="Arial" w:ascii="Arial" w:hAnsi="Arial"/>
          <w:sz w:val="20"/>
          <w:szCs w:val="20"/>
        </w:rPr>
        <w:t>Process Description:</w:t>
      </w:r>
    </w:p>
    <w:p>
      <w:pPr>
        <w:pStyle w:val="BodyText"/>
        <w:rPr/>
      </w:pPr>
      <w:r>
        <w:rPr/>
        <w:t>Table 1, below, describes the projects and gives the status of the GO 131-D NOC and Section 851 Lease/License processes, where applicable.  These columns focus on the early part of the interconnection process, prior to engineering and construction.  Table 2, below, lists some of the later steps in the interconnection process.  Some of the general steps involved with interconnecting to PG&amp;E include:</w:t>
      </w:r>
    </w:p>
    <w:p>
      <w:pPr>
        <w:pStyle w:val="Normal"/>
        <w:numPr>
          <w:ilvl w:val="0"/>
          <w:numId w:val="2"/>
        </w:numPr>
        <w:tabs>
          <w:tab w:val="clear" w:pos="720"/>
          <w:tab w:val="left" w:pos="0" w:leader="none"/>
        </w:tabs>
        <w:ind w:hanging="380" w:start="380" w:end="0"/>
        <w:rPr>
          <w:rFonts w:ascii="Arial" w:hAnsi="Arial" w:eastAsia="Arial" w:cs="Arial"/>
          <w:sz w:val="20"/>
          <w:szCs w:val="20"/>
        </w:rPr>
      </w:pPr>
      <w:r>
        <w:rPr>
          <w:rFonts w:eastAsia="Arial" w:cs="Arial" w:ascii="Arial" w:hAnsi="Arial"/>
          <w:sz w:val="20"/>
          <w:szCs w:val="20"/>
        </w:rPr>
        <w:t xml:space="preserve">The generator secures a site and applies to PG&amp;E for electric and natural gas interconnections. </w:t>
      </w:r>
    </w:p>
    <w:p>
      <w:pPr>
        <w:pStyle w:val="Normal"/>
        <w:numPr>
          <w:ilvl w:val="0"/>
          <w:numId w:val="2"/>
        </w:numPr>
        <w:tabs>
          <w:tab w:val="clear" w:pos="720"/>
          <w:tab w:val="left" w:pos="0" w:leader="none"/>
        </w:tabs>
        <w:ind w:hanging="380" w:start="380" w:end="0"/>
        <w:rPr>
          <w:rFonts w:ascii="Arial" w:hAnsi="Arial" w:eastAsia="Arial" w:cs="Arial"/>
          <w:sz w:val="20"/>
          <w:szCs w:val="20"/>
        </w:rPr>
      </w:pPr>
      <w:r>
        <w:rPr>
          <w:rFonts w:eastAsia="Arial" w:cs="Arial" w:ascii="Arial" w:hAnsi="Arial"/>
          <w:sz w:val="20"/>
          <w:szCs w:val="20"/>
        </w:rPr>
        <w:t xml:space="preserve">PG&amp;E does a preliminary electric system impact study within 7 days, after which, a facility impact study and complete system impact study is completed.  This includes a general estimate of equipment needed, system impacts, if any, and cost.  PG&amp;E offers different kinds of studies.  In addition to the 7-day process, PG&amp;E has created an expedited electric interconnection study for 50 MW summer peakers which can take as little as 2 weeks.  </w:t>
      </w:r>
    </w:p>
    <w:p>
      <w:pPr>
        <w:pStyle w:val="Normal"/>
        <w:numPr>
          <w:ilvl w:val="0"/>
          <w:numId w:val="2"/>
        </w:numPr>
        <w:tabs>
          <w:tab w:val="clear" w:pos="720"/>
          <w:tab w:val="left" w:pos="0" w:leader="none"/>
        </w:tabs>
        <w:ind w:hanging="380" w:start="380" w:end="0"/>
        <w:rPr>
          <w:rFonts w:ascii="Arial" w:hAnsi="Arial" w:eastAsia="Arial" w:cs="Arial"/>
          <w:sz w:val="20"/>
          <w:szCs w:val="20"/>
        </w:rPr>
      </w:pPr>
      <w:r>
        <w:rPr>
          <w:rFonts w:eastAsia="Arial" w:cs="Arial" w:ascii="Arial" w:hAnsi="Arial"/>
          <w:sz w:val="20"/>
          <w:szCs w:val="20"/>
        </w:rPr>
        <w:t xml:space="preserve">If mutually agreeable, PG&amp;E and the generator execute a special facilities agreement, after which the generator funds, and PG&amp;E performs, detailed engineering work and ordering of long lead-time materials. </w:t>
      </w:r>
    </w:p>
    <w:p>
      <w:pPr>
        <w:pStyle w:val="Normal"/>
        <w:numPr>
          <w:ilvl w:val="0"/>
          <w:numId w:val="2"/>
        </w:numPr>
        <w:tabs>
          <w:tab w:val="clear" w:pos="720"/>
          <w:tab w:val="left" w:pos="0" w:leader="none"/>
        </w:tabs>
        <w:ind w:hanging="380" w:start="380" w:end="0"/>
        <w:rPr>
          <w:rFonts w:ascii="Arial" w:hAnsi="Arial" w:eastAsia="Arial" w:cs="Arial"/>
          <w:sz w:val="20"/>
          <w:szCs w:val="20"/>
        </w:rPr>
      </w:pPr>
      <w:r>
        <w:rPr>
          <w:rFonts w:eastAsia="Arial" w:cs="Arial" w:ascii="Arial" w:hAnsi="Arial"/>
          <w:sz w:val="20"/>
          <w:szCs w:val="20"/>
        </w:rPr>
        <w:t xml:space="preserve">The generator must acquire financing, generating equipment, step-up transformer and long lead-time materials for its share of construction. </w:t>
      </w:r>
    </w:p>
    <w:p>
      <w:pPr>
        <w:pStyle w:val="Normal"/>
        <w:numPr>
          <w:ilvl w:val="0"/>
          <w:numId w:val="2"/>
        </w:numPr>
        <w:tabs>
          <w:tab w:val="clear" w:pos="720"/>
          <w:tab w:val="left" w:pos="0" w:leader="none"/>
        </w:tabs>
        <w:ind w:hanging="380" w:start="380" w:end="0"/>
        <w:rPr>
          <w:rFonts w:ascii="Arial" w:hAnsi="Arial" w:eastAsia="Arial" w:cs="Arial"/>
          <w:sz w:val="20"/>
          <w:szCs w:val="20"/>
        </w:rPr>
      </w:pPr>
      <w:r>
        <w:rPr>
          <w:rFonts w:eastAsia="Arial" w:cs="Arial" w:ascii="Arial" w:hAnsi="Arial"/>
          <w:sz w:val="20"/>
          <w:szCs w:val="20"/>
        </w:rPr>
        <w:t xml:space="preserve">In parallel, and before any construction begins, the generator must acquire necessary governmental permits through its CEQA lead agency, after which, in some cases (see Table 1 below), PG&amp;E must file a GO 131-D NOC with the CPUC. </w:t>
      </w:r>
    </w:p>
    <w:p>
      <w:pPr>
        <w:pStyle w:val="Normal"/>
        <w:numPr>
          <w:ilvl w:val="0"/>
          <w:numId w:val="2"/>
        </w:numPr>
        <w:tabs>
          <w:tab w:val="clear" w:pos="720"/>
          <w:tab w:val="left" w:pos="0" w:leader="none"/>
        </w:tabs>
        <w:ind w:hanging="380" w:start="380" w:end="0"/>
        <w:rPr>
          <w:rFonts w:ascii="Arial" w:hAnsi="Arial" w:eastAsia="Arial" w:cs="Arial"/>
          <w:sz w:val="20"/>
          <w:szCs w:val="20"/>
        </w:rPr>
      </w:pPr>
      <w:r>
        <w:rPr>
          <w:rFonts w:eastAsia="Arial" w:cs="Arial" w:ascii="Arial" w:hAnsi="Arial"/>
          <w:sz w:val="20"/>
          <w:szCs w:val="20"/>
        </w:rPr>
        <w:t xml:space="preserve">For those projects for which an NOC is required, protests may be filed within 20 days of the date of first publication of the notice.  If protests are filed, the CPUC’s rules require the Commission to issue an Executive Resolution either approving or rejecting the protest within 30 days of the date of the utility’s response to the protest.  After the generator gets permit approval and, if appropriate, the NOC becomes effective, the generator and PG&amp;E each performs its share of construction, funded by the generator. </w:t>
      </w:r>
    </w:p>
    <w:p>
      <w:pPr>
        <w:pStyle w:val="Normal"/>
        <w:numPr>
          <w:ilvl w:val="0"/>
          <w:numId w:val="2"/>
        </w:numPr>
        <w:tabs>
          <w:tab w:val="clear" w:pos="720"/>
          <w:tab w:val="left" w:pos="0" w:leader="none"/>
        </w:tabs>
        <w:ind w:hanging="380" w:start="380" w:end="0"/>
        <w:rPr>
          <w:rFonts w:ascii="Arial" w:hAnsi="Arial" w:eastAsia="Arial" w:cs="Arial"/>
          <w:sz w:val="20"/>
          <w:szCs w:val="20"/>
        </w:rPr>
      </w:pPr>
      <w:r>
        <w:rPr>
          <w:rFonts w:eastAsia="Arial" w:cs="Arial" w:ascii="Arial" w:hAnsi="Arial"/>
          <w:sz w:val="20"/>
          <w:szCs w:val="20"/>
        </w:rPr>
        <w:t xml:space="preserve">Generators using PG&amp;E land must sign a license or, if requested, a lease.  Leases require a Section 851 filing with the CPUC. </w:t>
      </w:r>
    </w:p>
    <w:p>
      <w:pPr>
        <w:pStyle w:val="Normal"/>
        <w:numPr>
          <w:ilvl w:val="0"/>
          <w:numId w:val="2"/>
        </w:numPr>
        <w:tabs>
          <w:tab w:val="clear" w:pos="720"/>
          <w:tab w:val="left" w:pos="0" w:leader="none"/>
        </w:tabs>
        <w:ind w:hanging="380" w:start="380" w:end="0"/>
        <w:rPr>
          <w:rFonts w:ascii="Arial" w:hAnsi="Arial" w:eastAsia="Arial" w:cs="Arial"/>
          <w:sz w:val="20"/>
          <w:szCs w:val="20"/>
        </w:rPr>
      </w:pPr>
      <w:r>
        <w:rPr>
          <w:rFonts w:eastAsia="Arial" w:cs="Arial" w:ascii="Arial" w:hAnsi="Arial"/>
          <w:sz w:val="20"/>
          <w:szCs w:val="20"/>
        </w:rPr>
        <w:t xml:space="preserve">The generators must execute a Generator Interconnection Agreement with PG&amp;E and a Participating Generator Agreement with the ISO. </w:t>
      </w:r>
    </w:p>
    <w:p>
      <w:pPr>
        <w:pStyle w:val="Normal"/>
        <w:numPr>
          <w:ilvl w:val="0"/>
          <w:numId w:val="2"/>
        </w:numPr>
        <w:tabs>
          <w:tab w:val="clear" w:pos="720"/>
          <w:tab w:val="left" w:pos="0" w:leader="none"/>
        </w:tabs>
        <w:ind w:hanging="380" w:start="380" w:end="0"/>
        <w:rPr>
          <w:rFonts w:ascii="Arial" w:hAnsi="Arial" w:eastAsia="Arial" w:cs="Arial"/>
          <w:sz w:val="20"/>
          <w:szCs w:val="20"/>
        </w:rPr>
      </w:pPr>
      <w:r>
        <w:rPr>
          <w:rFonts w:eastAsia="Arial" w:cs="Arial" w:ascii="Arial" w:hAnsi="Arial"/>
          <w:sz w:val="20"/>
          <w:szCs w:val="20"/>
        </w:rPr>
        <w:t xml:space="preserve">Generators requiring standby service or temporary construction power must apply for retail service and PG&amp;E must arrange the service. </w:t>
      </w:r>
    </w:p>
    <w:p>
      <w:pPr>
        <w:pStyle w:val="Normal"/>
        <w:numPr>
          <w:ilvl w:val="0"/>
          <w:numId w:val="2"/>
        </w:numPr>
        <w:tabs>
          <w:tab w:val="clear" w:pos="720"/>
          <w:tab w:val="left" w:pos="0" w:leader="none"/>
        </w:tabs>
        <w:ind w:hanging="380" w:start="380" w:end="0"/>
        <w:rPr>
          <w:rFonts w:ascii="Arial" w:hAnsi="Arial" w:eastAsia="Arial" w:cs="Arial"/>
          <w:sz w:val="20"/>
          <w:szCs w:val="20"/>
        </w:rPr>
      </w:pPr>
      <w:r>
        <w:rPr>
          <w:rFonts w:eastAsia="Arial" w:cs="Arial" w:ascii="Arial" w:hAnsi="Arial"/>
          <w:sz w:val="20"/>
          <w:szCs w:val="20"/>
        </w:rPr>
        <w:t xml:space="preserve">Generators using natural gas must sign a Natural Gas Service Agreement. </w:t>
      </w:r>
    </w:p>
    <w:p>
      <w:pPr>
        <w:pStyle w:val="Normal"/>
        <w:numPr>
          <w:ilvl w:val="0"/>
          <w:numId w:val="2"/>
        </w:numPr>
        <w:tabs>
          <w:tab w:val="clear" w:pos="720"/>
          <w:tab w:val="left" w:pos="0" w:leader="none"/>
        </w:tabs>
        <w:ind w:hanging="380" w:start="380" w:end="0"/>
        <w:rPr>
          <w:rFonts w:ascii="Arial" w:hAnsi="Arial" w:eastAsia="Arial" w:cs="Arial"/>
          <w:sz w:val="20"/>
          <w:szCs w:val="20"/>
        </w:rPr>
      </w:pPr>
      <w:r>
        <w:rPr>
          <w:rFonts w:eastAsia="Arial" w:cs="Arial" w:ascii="Arial" w:hAnsi="Arial"/>
          <w:sz w:val="20"/>
          <w:szCs w:val="20"/>
        </w:rPr>
        <w:t xml:space="preserve">Generators must comply with ISO metering requirements. </w:t>
      </w:r>
      <w:r>
        <w:br w:type="page"/>
      </w:r>
    </w:p>
    <w:p>
      <w:pPr>
        <w:pStyle w:val="Heading"/>
        <w:rPr>
          <w:sz w:val="20"/>
          <w:szCs w:val="20"/>
        </w:rPr>
      </w:pPr>
      <w:r>
        <w:rPr>
          <w:sz w:val="20"/>
          <w:szCs w:val="20"/>
        </w:rPr>
        <w:t>Pacific Gas and Electric Company, Summer 2001 Generator Interconnection Status</w:t>
      </w:r>
    </w:p>
    <w:p>
      <w:pPr>
        <w:pStyle w:val="Normal"/>
        <w:jc w:val="center"/>
        <w:rPr>
          <w:sz w:val="20"/>
          <w:szCs w:val="20"/>
        </w:rPr>
      </w:pPr>
      <w:r>
        <w:rPr>
          <w:sz w:val="20"/>
          <w:szCs w:val="20"/>
        </w:rPr>
        <w:t>Monthly Report to CPUC Required under AB 970 OII,</w:t>
      </w:r>
    </w:p>
    <w:p>
      <w:pPr>
        <w:pStyle w:val="Normal"/>
        <w:jc w:val="center"/>
        <w:rPr>
          <w:sz w:val="20"/>
          <w:szCs w:val="20"/>
        </w:rPr>
      </w:pPr>
      <w:r>
        <w:rPr>
          <w:sz w:val="20"/>
          <w:szCs w:val="20"/>
        </w:rPr>
        <w:t>6/1/2001</w:t>
      </w:r>
    </w:p>
    <w:p>
      <w:pPr>
        <w:pStyle w:val="Normal"/>
        <w:tabs>
          <w:tab w:val="left" w:pos="720" w:leader="none"/>
        </w:tabs>
        <w:rPr>
          <w:sz w:val="20"/>
          <w:szCs w:val="20"/>
        </w:rPr>
      </w:pPr>
      <w:r>
        <w:rPr>
          <w:sz w:val="20"/>
          <w:szCs w:val="20"/>
        </w:rPr>
      </w:r>
    </w:p>
    <w:p>
      <w:pPr>
        <w:pStyle w:val="Normal"/>
        <w:tabs>
          <w:tab w:val="left" w:pos="720" w:leader="none"/>
        </w:tabs>
        <w:jc w:val="center"/>
        <w:rPr/>
      </w:pPr>
      <w:r>
        <w:rPr/>
        <w:t>Table 1, Project Description and Status of GO 131-D NOC and Section 851 Lease/License Processes</w:t>
      </w:r>
    </w:p>
    <w:tbl>
      <w:tblPr>
        <w:tblW w:w="13608" w:type="dxa"/>
        <w:jc w:val="start"/>
        <w:tblInd w:w="0" w:type="dxa"/>
        <w:tblLayout w:type="fixed"/>
        <w:tblCellMar>
          <w:top w:w="0" w:type="dxa"/>
          <w:start w:w="108" w:type="dxa"/>
          <w:bottom w:w="0" w:type="dxa"/>
          <w:end w:w="108" w:type="dxa"/>
        </w:tblCellMar>
      </w:tblPr>
      <w:tblGrid>
        <w:gridCol w:w="738"/>
        <w:gridCol w:w="1191"/>
        <w:gridCol w:w="826"/>
        <w:gridCol w:w="821"/>
        <w:gridCol w:w="1388"/>
        <w:gridCol w:w="1335"/>
        <w:gridCol w:w="1680"/>
        <w:gridCol w:w="552"/>
        <w:gridCol w:w="778"/>
        <w:gridCol w:w="444"/>
        <w:gridCol w:w="1065"/>
        <w:gridCol w:w="900"/>
        <w:gridCol w:w="900"/>
        <w:gridCol w:w="990"/>
      </w:tblGrid>
      <w:tr>
        <w:trPr>
          <w:trHeight w:val="543" w:hRule="atLeast"/>
        </w:trPr>
        <w:tc>
          <w:tcPr>
            <w:tcW w:w="738" w:type="dxa"/>
            <w:tcBorders>
              <w:top w:val="single" w:sz="6" w:space="0" w:color="000000"/>
              <w:start w:val="single" w:sz="6" w:space="0" w:color="000000"/>
              <w:bottom w:val="single" w:sz="6" w:space="0" w:color="000000"/>
              <w:end w:val="single" w:sz="6" w:space="0" w:color="000000"/>
            </w:tcBorders>
          </w:tcPr>
          <w:p>
            <w:pPr>
              <w:pStyle w:val="Heading5"/>
              <w:ind w:hanging="0" w:start="0"/>
              <w:rPr>
                <w:kern w:val="2"/>
                <w:sz w:val="18"/>
                <w:szCs w:val="18"/>
              </w:rPr>
            </w:pPr>
            <w:r>
              <w:rPr>
                <w:kern w:val="2"/>
                <w:sz w:val="18"/>
                <w:szCs w:val="18"/>
              </w:rPr>
              <w:t>Pro- ject</w:t>
            </w:r>
          </w:p>
        </w:tc>
        <w:tc>
          <w:tcPr>
            <w:tcW w:w="119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Generator</w:t>
            </w:r>
          </w:p>
        </w:tc>
        <w:tc>
          <w:tcPr>
            <w:tcW w:w="82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Utility</w:t>
            </w:r>
          </w:p>
        </w:tc>
        <w:tc>
          <w:tcPr>
            <w:tcW w:w="82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b/>
                <w:bCs/>
                <w:kern w:val="2"/>
                <w:sz w:val="18"/>
                <w:szCs w:val="18"/>
              </w:rPr>
            </w:pPr>
            <w:r>
              <w:rPr>
                <w:rFonts w:eastAsia="Arial" w:cs="Arial" w:ascii="Arial" w:hAnsi="Arial"/>
                <w:b/>
                <w:bCs/>
                <w:kern w:val="2"/>
                <w:sz w:val="18"/>
                <w:szCs w:val="18"/>
              </w:rPr>
            </w:r>
          </w:p>
        </w:tc>
        <w:tc>
          <w:tcPr>
            <w:tcW w:w="4403"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Location</w:t>
            </w:r>
          </w:p>
        </w:tc>
        <w:tc>
          <w:tcPr>
            <w:tcW w:w="1774"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Unit(s)</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GO 131-D notice required?</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NOC</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851</w:t>
            </w:r>
          </w:p>
          <w:p>
            <w:pPr>
              <w:pStyle w:val="Normal"/>
              <w:jc w:val="center"/>
              <w:rPr>
                <w:rFonts w:ascii="Arial" w:hAnsi="Arial" w:eastAsia="Arial" w:cs="Arial"/>
                <w:b/>
                <w:bCs/>
                <w:kern w:val="2"/>
                <w:sz w:val="18"/>
                <w:szCs w:val="18"/>
              </w:rPr>
            </w:pPr>
            <w:r>
              <w:rPr>
                <w:rFonts w:eastAsia="Arial" w:cs="Arial" w:ascii="Arial" w:hAnsi="Arial"/>
                <w:b/>
                <w:bCs/>
                <w:kern w:val="2"/>
                <w:sz w:val="18"/>
                <w:szCs w:val="18"/>
              </w:rPr>
              <w:t>Lease / License</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Local agency CEQA</w:t>
            </w:r>
          </w:p>
          <w:p>
            <w:pPr>
              <w:pStyle w:val="Normal"/>
              <w:jc w:val="center"/>
              <w:rPr>
                <w:rFonts w:ascii="Arial" w:hAnsi="Arial" w:eastAsia="Arial" w:cs="Arial"/>
                <w:b/>
                <w:bCs/>
                <w:kern w:val="2"/>
                <w:sz w:val="18"/>
                <w:szCs w:val="18"/>
              </w:rPr>
            </w:pPr>
            <w:r>
              <w:rPr>
                <w:rFonts w:eastAsia="Arial" w:cs="Arial" w:ascii="Arial" w:hAnsi="Arial"/>
                <w:b/>
                <w:bCs/>
                <w:kern w:val="2"/>
                <w:sz w:val="18"/>
                <w:szCs w:val="18"/>
              </w:rPr>
              <w:t>review</w:t>
            </w:r>
          </w:p>
        </w:tc>
      </w:tr>
      <w:tr>
        <w:trPr/>
        <w:tc>
          <w:tcPr>
            <w:tcW w:w="738" w:type="dxa"/>
            <w:tcBorders>
              <w:top w:val="single" w:sz="6" w:space="0" w:color="000000"/>
              <w:start w:val="single" w:sz="6" w:space="0" w:color="000000"/>
              <w:bottom w:val="single" w:sz="6" w:space="0" w:color="000000"/>
              <w:end w:val="single" w:sz="6" w:space="0" w:color="000000"/>
            </w:tcBorders>
          </w:tcPr>
          <w:p>
            <w:pPr>
              <w:pStyle w:val="Heading5"/>
              <w:ind w:hanging="0" w:start="0"/>
              <w:rPr>
                <w:kern w:val="2"/>
                <w:sz w:val="18"/>
                <w:szCs w:val="18"/>
              </w:rPr>
            </w:pPr>
            <w:r>
              <w:rPr>
                <w:kern w:val="2"/>
                <w:sz w:val="18"/>
                <w:szCs w:val="18"/>
              </w:rPr>
              <w:t>ID</w:t>
            </w:r>
          </w:p>
        </w:tc>
        <w:tc>
          <w:tcPr>
            <w:tcW w:w="119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Name</w:t>
            </w:r>
          </w:p>
        </w:tc>
        <w:tc>
          <w:tcPr>
            <w:tcW w:w="82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Elec.</w:t>
            </w:r>
          </w:p>
        </w:tc>
        <w:tc>
          <w:tcPr>
            <w:tcW w:w="8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Gas</w:t>
            </w:r>
          </w:p>
        </w:tc>
        <w:tc>
          <w:tcPr>
            <w:tcW w:w="138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County</w:t>
            </w:r>
          </w:p>
        </w:tc>
        <w:tc>
          <w:tcPr>
            <w:tcW w:w="13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City</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Substation</w:t>
            </w:r>
          </w:p>
        </w:tc>
        <w:tc>
          <w:tcPr>
            <w:tcW w:w="5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w:t>
            </w:r>
          </w:p>
        </w:tc>
        <w:tc>
          <w:tcPr>
            <w:tcW w:w="7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Type</w:t>
            </w:r>
          </w:p>
        </w:tc>
        <w:tc>
          <w:tcPr>
            <w:tcW w:w="4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MW</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Yes/No</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Status</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Status</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Status</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(a)</w:t>
            </w:r>
          </w:p>
        </w:tc>
        <w:tc>
          <w:tcPr>
            <w:tcW w:w="119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(a’)</w:t>
            </w:r>
          </w:p>
        </w:tc>
        <w:tc>
          <w:tcPr>
            <w:tcW w:w="82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(b)</w:t>
            </w:r>
          </w:p>
        </w:tc>
        <w:tc>
          <w:tcPr>
            <w:tcW w:w="8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(c)</w:t>
            </w:r>
          </w:p>
        </w:tc>
        <w:tc>
          <w:tcPr>
            <w:tcW w:w="138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(d)</w:t>
            </w:r>
          </w:p>
        </w:tc>
        <w:tc>
          <w:tcPr>
            <w:tcW w:w="13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(e)</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(f)</w:t>
            </w:r>
          </w:p>
        </w:tc>
        <w:tc>
          <w:tcPr>
            <w:tcW w:w="5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(g)</w:t>
            </w:r>
          </w:p>
        </w:tc>
        <w:tc>
          <w:tcPr>
            <w:tcW w:w="7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(h)</w:t>
            </w:r>
          </w:p>
        </w:tc>
        <w:tc>
          <w:tcPr>
            <w:tcW w:w="4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(i)</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(l)</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(m)</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(n)</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(o)</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1a</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CalPeak</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SCG</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Kern</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Buttonwillow</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**Midway</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CT</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49</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2</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1b</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CalPeak</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Fresno</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Mendota</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**Panoche</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CT</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49</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1c</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CalPeak</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Solano</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Vacaville</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**Vaca Dixon</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CT</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49</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2</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3a</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Wellhead</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San Joaquin</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Tracy</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Tesla</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CT</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49</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2 (*)</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1</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3b</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Wellhead</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Fresno</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Huron</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Gates</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CT</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49</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2 (*)</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1</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3c</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Wellhead</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SCG</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Fresno</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Fresno</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Fresno Cogen</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CT</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18</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2</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3e</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Wellhead</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Fresno</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Mendota</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Panoche</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CT</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49</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2 (*)</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1</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4a</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NEO</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Madera</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Chowchilla</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Chowchilla 2</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16</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Recip</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49</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(3/12)</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2</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4b</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NEO</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Tehama</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Red Bluff</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Rawson Junction</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16</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Recip</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49</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2 (*)</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2</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5a</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Panda</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Solano</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Suisun City</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Lambie Indus Pk</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CT</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45</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2 (*)</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1</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5b</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Panda</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Solano</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Suisun City</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Lambie Indus Pk</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CT</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45</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2 (*)</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1</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5c</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Panda</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Solano</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Suisun City</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Lambie Indus Pk</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CT</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45</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2 (*)</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1</w:t>
            </w:r>
          </w:p>
        </w:tc>
      </w:tr>
    </w:tbl>
    <w:p>
      <w:pPr>
        <w:pStyle w:val="Normal"/>
        <w:rPr>
          <w:sz w:val="20"/>
          <w:szCs w:val="20"/>
        </w:rPr>
      </w:pPr>
      <w:r>
        <w:rPr>
          <w:sz w:val="20"/>
          <w:szCs w:val="20"/>
        </w:rPr>
      </w:r>
    </w:p>
    <w:p>
      <w:pPr>
        <w:pStyle w:val="Normal"/>
        <w:tabs>
          <w:tab w:val="left" w:pos="720" w:leader="none"/>
        </w:tabs>
        <w:jc w:val="center"/>
        <w:rPr/>
      </w:pPr>
      <w:r>
        <w:rPr/>
        <w:t>Table 2, Status of PG&amp;E Interconnection Process</w:t>
      </w:r>
    </w:p>
    <w:tbl>
      <w:tblPr>
        <w:tblW w:w="13518" w:type="dxa"/>
        <w:jc w:val="start"/>
        <w:tblInd w:w="0" w:type="dxa"/>
        <w:tblLayout w:type="fixed"/>
        <w:tblCellMar>
          <w:top w:w="0" w:type="dxa"/>
          <w:start w:w="108" w:type="dxa"/>
          <w:bottom w:w="0" w:type="dxa"/>
          <w:end w:w="108" w:type="dxa"/>
        </w:tblCellMar>
      </w:tblPr>
      <w:tblGrid>
        <w:gridCol w:w="761"/>
        <w:gridCol w:w="1147"/>
        <w:gridCol w:w="900"/>
        <w:gridCol w:w="810"/>
        <w:gridCol w:w="1620"/>
        <w:gridCol w:w="1890"/>
        <w:gridCol w:w="1170"/>
        <w:gridCol w:w="1350"/>
        <w:gridCol w:w="1350"/>
        <w:gridCol w:w="1260"/>
        <w:gridCol w:w="1260"/>
      </w:tblGrid>
      <w:tr>
        <w:trPr>
          <w:trHeight w:val="543" w:hRule="atLeast"/>
        </w:trPr>
        <w:tc>
          <w:tcPr>
            <w:tcW w:w="761" w:type="dxa"/>
            <w:tcBorders>
              <w:top w:val="single" w:sz="6" w:space="0" w:color="000000"/>
              <w:start w:val="single" w:sz="6" w:space="0" w:color="000000"/>
              <w:bottom w:val="single" w:sz="6" w:space="0" w:color="000000"/>
              <w:end w:val="single" w:sz="6" w:space="0" w:color="000000"/>
            </w:tcBorders>
          </w:tcPr>
          <w:p>
            <w:pPr>
              <w:pStyle w:val="Heading5"/>
              <w:ind w:hanging="0" w:start="0"/>
              <w:rPr>
                <w:kern w:val="2"/>
                <w:sz w:val="18"/>
                <w:szCs w:val="18"/>
              </w:rPr>
            </w:pPr>
            <w:r>
              <w:rPr>
                <w:kern w:val="2"/>
                <w:sz w:val="18"/>
                <w:szCs w:val="18"/>
              </w:rPr>
              <w:t>Pro- ject</w:t>
            </w:r>
          </w:p>
        </w:tc>
        <w:tc>
          <w:tcPr>
            <w:tcW w:w="11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Generator</w:t>
            </w:r>
          </w:p>
        </w:tc>
        <w:tc>
          <w:tcPr>
            <w:tcW w:w="1710" w:type="dxa"/>
            <w:gridSpan w:val="2"/>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Utility</w:t>
            </w:r>
          </w:p>
        </w:tc>
        <w:tc>
          <w:tcPr>
            <w:tcW w:w="3510" w:type="dxa"/>
            <w:gridSpan w:val="2"/>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Status of Interconnection Study</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GSFA signed?</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Engineering Started by Generator and PG&amp;E?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Construction Started by Generator and PG&amp;E?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Natural Gas Inter-connection Complete?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Generator Installed ISO Metering?</w:t>
            </w:r>
          </w:p>
        </w:tc>
      </w:tr>
      <w:tr>
        <w:trPr/>
        <w:tc>
          <w:tcPr>
            <w:tcW w:w="761" w:type="dxa"/>
            <w:tcBorders>
              <w:top w:val="single" w:sz="6" w:space="0" w:color="000000"/>
              <w:start w:val="single" w:sz="6" w:space="0" w:color="000000"/>
              <w:bottom w:val="single" w:sz="6" w:space="0" w:color="000000"/>
              <w:end w:val="single" w:sz="6" w:space="0" w:color="000000"/>
            </w:tcBorders>
          </w:tcPr>
          <w:p>
            <w:pPr>
              <w:pStyle w:val="Heading5"/>
              <w:ind w:hanging="0" w:start="0"/>
              <w:rPr>
                <w:kern w:val="2"/>
                <w:sz w:val="18"/>
                <w:szCs w:val="18"/>
              </w:rPr>
            </w:pPr>
            <w:r>
              <w:rPr>
                <w:kern w:val="2"/>
                <w:sz w:val="18"/>
                <w:szCs w:val="18"/>
              </w:rPr>
              <w:t>ID</w:t>
            </w:r>
          </w:p>
        </w:tc>
        <w:tc>
          <w:tcPr>
            <w:tcW w:w="11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Name</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Elec.</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Gas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Elec.</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Gas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Yes/No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Yes/No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Yes/No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Yes/No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Yes/No</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(a)</w:t>
            </w:r>
          </w:p>
        </w:tc>
        <w:tc>
          <w:tcPr>
            <w:tcW w:w="11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(b)</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(c)</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(j)</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(k)</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(p)</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(q)</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(r)</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(s)</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(t)</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1a</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CalPeak</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SCG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(2/28)</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5</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1b</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CalPeak</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(1/26)</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(1/12)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1c</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CalPeak</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(1/26)</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(1/25)</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3a</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Wellhead</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(4/30)</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4</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3b</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Wellhead</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(4/30)</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(1/12)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3c</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Wellhead</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SCG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(1/30)</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5</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3e</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Wellhead</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(4/30)</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(3/30)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4a</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NEO</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(11/20)</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(1/16)</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4b</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NEO</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(1/11)</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(5/31)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5a</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Panda</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(4/30)</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(3/23)</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5b</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Panda</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(4/30)</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(3/23)</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5c</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Panda</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(4/30)</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(3/23)</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r>
    </w:tbl>
    <w:p>
      <w:pPr>
        <w:pStyle w:val="Heading"/>
        <w:jc w:val="start"/>
        <w:rPr>
          <w:sz w:val="22"/>
          <w:szCs w:val="22"/>
        </w:rPr>
      </w:pPr>
      <w:r>
        <w:rPr>
          <w:sz w:val="22"/>
          <w:szCs w:val="22"/>
        </w:rPr>
        <w:t>See below for explanation of column headings.</w:t>
      </w:r>
      <w:r>
        <w:br w:type="page"/>
      </w:r>
    </w:p>
    <w:p>
      <w:pPr>
        <w:pStyle w:val="Heading"/>
        <w:rPr/>
      </w:pPr>
      <w:r>
        <w:rPr/>
        <w:t xml:space="preserve"> </w:t>
      </w:r>
      <w:r>
        <w:rPr/>
        <w:t>Pacific Gas and Electric Company</w:t>
      </w:r>
    </w:p>
    <w:p>
      <w:pPr>
        <w:pStyle w:val="Heading"/>
        <w:rPr/>
      </w:pPr>
      <w:r>
        <w:rPr/>
        <w:t>Summer 2001 Generator Interconnection Status</w:t>
      </w:r>
    </w:p>
    <w:p>
      <w:pPr>
        <w:pStyle w:val="Normal"/>
        <w:jc w:val="center"/>
        <w:rPr/>
      </w:pPr>
      <w:r>
        <w:rPr/>
        <w:t>Monthly Report to CPUC Required under AB 970 OII</w:t>
      </w:r>
    </w:p>
    <w:p>
      <w:pPr>
        <w:pStyle w:val="Normal"/>
        <w:jc w:val="center"/>
        <w:rPr/>
      </w:pPr>
      <w:r>
        <w:rPr/>
        <w:t>6/1/2001 (continued)</w:t>
      </w:r>
    </w:p>
    <w:p>
      <w:pPr>
        <w:pStyle w:val="Normal"/>
        <w:rPr>
          <w:sz w:val="22"/>
          <w:szCs w:val="22"/>
        </w:rPr>
      </w:pPr>
      <w:r>
        <w:rPr>
          <w:sz w:val="22"/>
          <w:szCs w:val="22"/>
        </w:rPr>
      </w:r>
    </w:p>
    <w:p>
      <w:pPr>
        <w:pStyle w:val="Normal"/>
        <w:rPr>
          <w:b/>
          <w:bCs/>
          <w:sz w:val="22"/>
          <w:szCs w:val="22"/>
        </w:rPr>
      </w:pPr>
      <w:r>
        <w:rPr>
          <w:b/>
          <w:bCs/>
          <w:sz w:val="22"/>
          <w:szCs w:val="22"/>
        </w:rPr>
        <w:t>Explanation of Columns in Table 1:</w:t>
      </w:r>
    </w:p>
    <w:p>
      <w:pPr>
        <w:pStyle w:val="Normal"/>
        <w:rPr>
          <w:b/>
          <w:bCs/>
          <w:sz w:val="22"/>
          <w:szCs w:val="22"/>
        </w:rPr>
      </w:pPr>
      <w:r>
        <w:rPr>
          <w:b/>
          <w:bCs/>
          <w:sz w:val="22"/>
          <w:szCs w:val="22"/>
        </w:rPr>
      </w:r>
    </w:p>
    <w:p>
      <w:pPr>
        <w:pStyle w:val="Normal"/>
        <w:tabs>
          <w:tab w:val="clear" w:pos="720"/>
          <w:tab w:val="left" w:pos="360" w:leader="none"/>
        </w:tabs>
        <w:rPr>
          <w:sz w:val="22"/>
          <w:szCs w:val="22"/>
        </w:rPr>
      </w:pPr>
      <w:r>
        <w:rPr>
          <w:sz w:val="22"/>
          <w:szCs w:val="22"/>
        </w:rPr>
        <w:t>(a) Project ID:  There are eight generators, each with up to five projects.</w:t>
      </w:r>
    </w:p>
    <w:p>
      <w:pPr>
        <w:pStyle w:val="Normal"/>
        <w:tabs>
          <w:tab w:val="clear" w:pos="720"/>
          <w:tab w:val="left" w:pos="360" w:leader="none"/>
        </w:tabs>
        <w:rPr>
          <w:sz w:val="22"/>
          <w:szCs w:val="22"/>
        </w:rPr>
      </w:pPr>
      <w:r>
        <w:rPr>
          <w:sz w:val="22"/>
          <w:szCs w:val="22"/>
        </w:rPr>
        <w:t>(a’) Generator name.</w:t>
      </w:r>
    </w:p>
    <w:p>
      <w:pPr>
        <w:pStyle w:val="Normal"/>
        <w:tabs>
          <w:tab w:val="clear" w:pos="720"/>
          <w:tab w:val="left" w:pos="360" w:leader="none"/>
        </w:tabs>
        <w:rPr>
          <w:sz w:val="22"/>
          <w:szCs w:val="22"/>
        </w:rPr>
      </w:pPr>
      <w:r>
        <w:rPr>
          <w:sz w:val="22"/>
          <w:szCs w:val="22"/>
        </w:rPr>
        <w:t>(b) Electric Interconnection Utility:  either PG&amp;E or Edison.</w:t>
      </w:r>
    </w:p>
    <w:p>
      <w:pPr>
        <w:pStyle w:val="Normal"/>
        <w:tabs>
          <w:tab w:val="clear" w:pos="720"/>
          <w:tab w:val="left" w:pos="360" w:leader="none"/>
        </w:tabs>
        <w:rPr>
          <w:sz w:val="22"/>
          <w:szCs w:val="22"/>
        </w:rPr>
      </w:pPr>
      <w:r>
        <w:rPr>
          <w:sz w:val="22"/>
          <w:szCs w:val="22"/>
        </w:rPr>
        <w:t>(c) Natural Gas Interconnection Utility:  either PG&amp;E or SoCalGas.</w:t>
      </w:r>
    </w:p>
    <w:p>
      <w:pPr>
        <w:pStyle w:val="Normal"/>
        <w:tabs>
          <w:tab w:val="clear" w:pos="720"/>
          <w:tab w:val="left" w:pos="360" w:leader="none"/>
        </w:tabs>
        <w:rPr>
          <w:sz w:val="22"/>
          <w:szCs w:val="22"/>
        </w:rPr>
      </w:pPr>
      <w:r>
        <w:rPr>
          <w:sz w:val="22"/>
          <w:szCs w:val="22"/>
        </w:rPr>
        <w:t>(d) County of project.</w:t>
      </w:r>
    </w:p>
    <w:p>
      <w:pPr>
        <w:pStyle w:val="Normal"/>
        <w:tabs>
          <w:tab w:val="clear" w:pos="720"/>
          <w:tab w:val="left" w:pos="360" w:leader="none"/>
        </w:tabs>
        <w:rPr>
          <w:sz w:val="22"/>
          <w:szCs w:val="22"/>
        </w:rPr>
      </w:pPr>
      <w:r>
        <w:rPr>
          <w:sz w:val="22"/>
          <w:szCs w:val="22"/>
        </w:rPr>
        <w:t>(e) City of project.</w:t>
      </w:r>
    </w:p>
    <w:p>
      <w:pPr>
        <w:pStyle w:val="Normal"/>
        <w:tabs>
          <w:tab w:val="clear" w:pos="720"/>
          <w:tab w:val="left" w:pos="360" w:leader="none"/>
        </w:tabs>
        <w:rPr>
          <w:sz w:val="22"/>
          <w:szCs w:val="22"/>
        </w:rPr>
      </w:pPr>
      <w:r>
        <w:rPr>
          <w:sz w:val="22"/>
          <w:szCs w:val="22"/>
        </w:rPr>
        <w:t>(f) Substation where interconnection occurs.</w:t>
      </w:r>
    </w:p>
    <w:p>
      <w:pPr>
        <w:pStyle w:val="Normal"/>
        <w:ind w:start="360" w:end="0"/>
        <w:rPr>
          <w:sz w:val="22"/>
          <w:szCs w:val="22"/>
        </w:rPr>
      </w:pPr>
      <w:r>
        <w:rPr>
          <w:sz w:val="22"/>
          <w:szCs w:val="22"/>
        </w:rPr>
        <w:t>** = One of the nine PG&amp;E substations made available to generators for 3 year Sec. 851 lease and/or revocable license.</w:t>
      </w:r>
    </w:p>
    <w:p>
      <w:pPr>
        <w:pStyle w:val="Normal"/>
        <w:ind w:start="360" w:end="0"/>
        <w:rPr>
          <w:sz w:val="22"/>
          <w:szCs w:val="22"/>
        </w:rPr>
      </w:pPr>
      <w:r>
        <w:rPr>
          <w:sz w:val="22"/>
          <w:szCs w:val="22"/>
        </w:rPr>
        <w:t>TBD = To be determined, generator has not yet decided on the exact interconnection point.</w:t>
      </w:r>
    </w:p>
    <w:p>
      <w:pPr>
        <w:pStyle w:val="Normal"/>
        <w:ind w:start="360" w:end="0"/>
        <w:rPr>
          <w:sz w:val="22"/>
          <w:szCs w:val="22"/>
        </w:rPr>
      </w:pPr>
      <w:r>
        <w:rPr>
          <w:sz w:val="22"/>
          <w:szCs w:val="22"/>
        </w:rPr>
        <w:t>SCE = Is an Edison electric interconnection.</w:t>
      </w:r>
    </w:p>
    <w:p>
      <w:pPr>
        <w:pStyle w:val="Normal"/>
        <w:tabs>
          <w:tab w:val="clear" w:pos="720"/>
          <w:tab w:val="left" w:pos="360" w:leader="none"/>
        </w:tabs>
        <w:rPr>
          <w:sz w:val="22"/>
          <w:szCs w:val="22"/>
        </w:rPr>
      </w:pPr>
      <w:r>
        <w:rPr>
          <w:sz w:val="22"/>
          <w:szCs w:val="22"/>
        </w:rPr>
        <w:t>(g) Number of generating units.</w:t>
      </w:r>
    </w:p>
    <w:p>
      <w:pPr>
        <w:pStyle w:val="Normal"/>
        <w:tabs>
          <w:tab w:val="clear" w:pos="720"/>
          <w:tab w:val="left" w:pos="360" w:leader="none"/>
        </w:tabs>
        <w:rPr>
          <w:sz w:val="22"/>
          <w:szCs w:val="22"/>
        </w:rPr>
      </w:pPr>
      <w:r>
        <w:rPr>
          <w:sz w:val="22"/>
          <w:szCs w:val="22"/>
        </w:rPr>
        <w:t>(h) Type of generating units: Combustion turbine or reciprocating engine.</w:t>
      </w:r>
    </w:p>
    <w:p>
      <w:pPr>
        <w:pStyle w:val="Normal"/>
        <w:tabs>
          <w:tab w:val="clear" w:pos="720"/>
          <w:tab w:val="left" w:pos="360" w:leader="none"/>
        </w:tabs>
        <w:rPr>
          <w:sz w:val="22"/>
          <w:szCs w:val="22"/>
        </w:rPr>
      </w:pPr>
      <w:r>
        <w:rPr>
          <w:sz w:val="22"/>
          <w:szCs w:val="22"/>
        </w:rPr>
        <w:t>(i) Total gross megawatts of project.</w:t>
      </w:r>
    </w:p>
    <w:p>
      <w:pPr>
        <w:pStyle w:val="Normal"/>
        <w:tabs>
          <w:tab w:val="clear" w:pos="720"/>
          <w:tab w:val="left" w:pos="360" w:leader="none"/>
        </w:tabs>
        <w:rPr>
          <w:sz w:val="22"/>
          <w:szCs w:val="22"/>
        </w:rPr>
      </w:pPr>
      <w:r>
        <w:rPr>
          <w:sz w:val="22"/>
          <w:szCs w:val="22"/>
        </w:rPr>
        <w:t>(l) CPUC GO 131-D notice required?  (yes/no).</w:t>
      </w:r>
    </w:p>
    <w:p>
      <w:pPr>
        <w:pStyle w:val="Normal"/>
        <w:tabs>
          <w:tab w:val="clear" w:pos="720"/>
          <w:tab w:val="left" w:pos="360" w:leader="none"/>
        </w:tabs>
        <w:rPr>
          <w:sz w:val="22"/>
          <w:szCs w:val="22"/>
        </w:rPr>
      </w:pPr>
      <w:r>
        <w:rPr>
          <w:sz w:val="22"/>
          <w:szCs w:val="22"/>
        </w:rPr>
        <w:t xml:space="preserve">(m) Notice of Construction (NOC) status:  </w:t>
      </w:r>
    </w:p>
    <w:p>
      <w:pPr>
        <w:pStyle w:val="Normal"/>
        <w:tabs>
          <w:tab w:val="clear" w:pos="720"/>
          <w:tab w:val="left" w:pos="0" w:leader="none"/>
        </w:tabs>
        <w:ind w:start="360" w:end="0"/>
        <w:rPr>
          <w:sz w:val="22"/>
          <w:szCs w:val="22"/>
        </w:rPr>
      </w:pPr>
      <w:r>
        <w:rPr>
          <w:sz w:val="22"/>
          <w:szCs w:val="22"/>
        </w:rPr>
        <w:t>1 = NA = project does not require NOC.</w:t>
      </w:r>
    </w:p>
    <w:p>
      <w:pPr>
        <w:pStyle w:val="Normal"/>
        <w:tabs>
          <w:tab w:val="clear" w:pos="720"/>
          <w:tab w:val="left" w:pos="0" w:leader="none"/>
        </w:tabs>
        <w:ind w:start="360" w:end="0"/>
        <w:rPr>
          <w:sz w:val="22"/>
          <w:szCs w:val="22"/>
        </w:rPr>
      </w:pPr>
      <w:r>
        <w:rPr>
          <w:sz w:val="22"/>
          <w:szCs w:val="22"/>
        </w:rPr>
        <w:t>2 = NOC expected [date]. * = The NOC filing date is dependent on the completion of the local agency’s CEQA/permit process for the underlying generation project.</w:t>
      </w:r>
    </w:p>
    <w:p>
      <w:pPr>
        <w:pStyle w:val="Normal"/>
        <w:tabs>
          <w:tab w:val="clear" w:pos="720"/>
          <w:tab w:val="left" w:pos="0" w:leader="none"/>
        </w:tabs>
        <w:ind w:start="360" w:end="0"/>
        <w:rPr>
          <w:sz w:val="22"/>
          <w:szCs w:val="22"/>
        </w:rPr>
      </w:pPr>
      <w:r>
        <w:rPr>
          <w:sz w:val="22"/>
          <w:szCs w:val="22"/>
        </w:rPr>
        <w:t>3 = NOC filed, published, and posted [date]; protest period closes [date].</w:t>
      </w:r>
    </w:p>
    <w:p>
      <w:pPr>
        <w:pStyle w:val="Normal"/>
        <w:tabs>
          <w:tab w:val="clear" w:pos="720"/>
          <w:tab w:val="left" w:pos="0" w:leader="none"/>
        </w:tabs>
        <w:ind w:start="360" w:end="0"/>
        <w:rPr>
          <w:sz w:val="22"/>
          <w:szCs w:val="22"/>
        </w:rPr>
      </w:pPr>
      <w:r>
        <w:rPr>
          <w:sz w:val="22"/>
          <w:szCs w:val="22"/>
        </w:rPr>
        <w:t>4 = NOC filed, published, and posted [date]; protest period closed [date] (no protests filed).</w:t>
      </w:r>
    </w:p>
    <w:p>
      <w:pPr>
        <w:pStyle w:val="Normal"/>
        <w:tabs>
          <w:tab w:val="clear" w:pos="720"/>
          <w:tab w:val="left" w:pos="0" w:leader="none"/>
        </w:tabs>
        <w:ind w:start="360" w:end="0"/>
        <w:rPr>
          <w:sz w:val="22"/>
          <w:szCs w:val="22"/>
        </w:rPr>
      </w:pPr>
      <w:r>
        <w:rPr>
          <w:sz w:val="22"/>
          <w:szCs w:val="22"/>
        </w:rPr>
        <w:t>5 = NOC filed, published, and posted [date]; protest received [date] and responded to [date].</w:t>
      </w:r>
    </w:p>
    <w:p>
      <w:pPr>
        <w:pStyle w:val="Normal"/>
        <w:tabs>
          <w:tab w:val="clear" w:pos="720"/>
          <w:tab w:val="left" w:pos="0" w:leader="none"/>
        </w:tabs>
        <w:ind w:start="360" w:end="0"/>
        <w:rPr>
          <w:sz w:val="22"/>
          <w:szCs w:val="22"/>
        </w:rPr>
      </w:pPr>
      <w:r>
        <w:rPr>
          <w:sz w:val="22"/>
          <w:szCs w:val="22"/>
        </w:rPr>
        <w:t>6 = Executive Resolution due [date].</w:t>
      </w:r>
    </w:p>
    <w:p>
      <w:pPr>
        <w:pStyle w:val="BodyText2"/>
        <w:rPr/>
      </w:pPr>
      <w:r>
        <w:rPr/>
        <w:t>(n) Status of Sec. 851 lease application and/or revocable license for use of PG&amp;E substation land:</w:t>
      </w:r>
    </w:p>
    <w:p>
      <w:pPr>
        <w:pStyle w:val="Normal"/>
        <w:tabs>
          <w:tab w:val="clear" w:pos="720"/>
          <w:tab w:val="left" w:pos="0" w:leader="none"/>
        </w:tabs>
        <w:ind w:start="360" w:end="0"/>
        <w:rPr>
          <w:sz w:val="22"/>
          <w:szCs w:val="22"/>
        </w:rPr>
      </w:pPr>
      <w:r>
        <w:rPr>
          <w:sz w:val="22"/>
          <w:szCs w:val="22"/>
        </w:rPr>
        <w:t>1 = Preparing lease and/or license.</w:t>
      </w:r>
    </w:p>
    <w:p>
      <w:pPr>
        <w:pStyle w:val="Normal"/>
        <w:tabs>
          <w:tab w:val="clear" w:pos="720"/>
          <w:tab w:val="left" w:pos="0" w:leader="none"/>
        </w:tabs>
        <w:ind w:start="360" w:end="0"/>
        <w:rPr>
          <w:sz w:val="22"/>
          <w:szCs w:val="22"/>
        </w:rPr>
      </w:pPr>
      <w:r>
        <w:rPr>
          <w:sz w:val="22"/>
          <w:szCs w:val="22"/>
        </w:rPr>
        <w:t>2 = 851 lease application filed (date).</w:t>
      </w:r>
    </w:p>
    <w:p>
      <w:pPr>
        <w:pStyle w:val="Normal"/>
        <w:tabs>
          <w:tab w:val="clear" w:pos="720"/>
          <w:tab w:val="left" w:pos="0" w:leader="none"/>
        </w:tabs>
        <w:ind w:start="360" w:end="0"/>
        <w:rPr>
          <w:sz w:val="22"/>
          <w:szCs w:val="22"/>
        </w:rPr>
      </w:pPr>
      <w:r>
        <w:rPr>
          <w:sz w:val="22"/>
          <w:szCs w:val="22"/>
        </w:rPr>
        <w:t>NA = project not on PG&amp;E land.</w:t>
      </w:r>
    </w:p>
    <w:p>
      <w:pPr>
        <w:pStyle w:val="BodyText2"/>
        <w:rPr/>
      </w:pPr>
      <w:r>
        <w:rPr/>
        <w:t>(o) Status of Local Agency CEQA Review:</w:t>
      </w:r>
    </w:p>
    <w:p>
      <w:pPr>
        <w:pStyle w:val="Normal"/>
        <w:tabs>
          <w:tab w:val="clear" w:pos="720"/>
          <w:tab w:val="left" w:pos="0" w:leader="none"/>
        </w:tabs>
        <w:ind w:start="360" w:end="0"/>
        <w:rPr>
          <w:sz w:val="22"/>
          <w:szCs w:val="22"/>
        </w:rPr>
      </w:pPr>
      <w:r>
        <w:rPr>
          <w:sz w:val="22"/>
          <w:szCs w:val="22"/>
        </w:rPr>
        <w:t>1 = Lead agency not identified yet.</w:t>
      </w:r>
    </w:p>
    <w:p>
      <w:pPr>
        <w:pStyle w:val="Normal"/>
        <w:tabs>
          <w:tab w:val="clear" w:pos="720"/>
          <w:tab w:val="left" w:pos="0" w:leader="none"/>
        </w:tabs>
        <w:ind w:start="360" w:end="0"/>
        <w:rPr>
          <w:sz w:val="22"/>
          <w:szCs w:val="22"/>
        </w:rPr>
      </w:pPr>
      <w:r>
        <w:rPr>
          <w:sz w:val="22"/>
          <w:szCs w:val="22"/>
        </w:rPr>
        <w:t>2 = Lead agency identified and application filed.</w:t>
      </w:r>
    </w:p>
    <w:p>
      <w:pPr>
        <w:pStyle w:val="Normal"/>
        <w:tabs>
          <w:tab w:val="clear" w:pos="720"/>
          <w:tab w:val="left" w:pos="0" w:leader="none"/>
        </w:tabs>
        <w:ind w:start="360" w:end="0"/>
        <w:rPr>
          <w:sz w:val="22"/>
          <w:szCs w:val="22"/>
        </w:rPr>
      </w:pPr>
      <w:r>
        <w:rPr>
          <w:sz w:val="22"/>
          <w:szCs w:val="22"/>
        </w:rPr>
        <w:t>3 = Application approved.</w:t>
      </w:r>
    </w:p>
    <w:p>
      <w:pPr>
        <w:pStyle w:val="Normal"/>
        <w:tabs>
          <w:tab w:val="clear" w:pos="720"/>
          <w:tab w:val="left" w:pos="0" w:leader="none"/>
        </w:tabs>
        <w:ind w:start="360" w:end="0"/>
        <w:rPr>
          <w:sz w:val="22"/>
          <w:szCs w:val="22"/>
        </w:rPr>
      </w:pPr>
      <w:r>
        <w:rPr>
          <w:sz w:val="22"/>
          <w:szCs w:val="22"/>
        </w:rPr>
        <w:t>4 = Application denied.</w:t>
      </w:r>
    </w:p>
    <w:p>
      <w:pPr>
        <w:pStyle w:val="Normal"/>
        <w:tabs>
          <w:tab w:val="clear" w:pos="720"/>
          <w:tab w:val="left" w:pos="0" w:leader="none"/>
        </w:tabs>
        <w:rPr>
          <w:sz w:val="22"/>
          <w:szCs w:val="22"/>
        </w:rPr>
      </w:pPr>
      <w:r>
        <w:rPr>
          <w:sz w:val="22"/>
          <w:szCs w:val="22"/>
        </w:rPr>
      </w:r>
      <w:r>
        <w:br w:type="page"/>
      </w:r>
    </w:p>
    <w:p>
      <w:pPr>
        <w:pStyle w:val="Heading"/>
        <w:rPr/>
      </w:pPr>
      <w:r>
        <w:rPr/>
        <w:t>Pacific Gas and Electric Company</w:t>
      </w:r>
    </w:p>
    <w:p>
      <w:pPr>
        <w:pStyle w:val="Heading"/>
        <w:rPr/>
      </w:pPr>
      <w:r>
        <w:rPr/>
        <w:t>Summer 2001 Generator Interconnection Status</w:t>
      </w:r>
    </w:p>
    <w:p>
      <w:pPr>
        <w:pStyle w:val="Normal"/>
        <w:jc w:val="center"/>
        <w:rPr/>
      </w:pPr>
      <w:r>
        <w:rPr/>
        <w:t>Monthly Report to CPUC Required under AB 970 OII</w:t>
      </w:r>
    </w:p>
    <w:p>
      <w:pPr>
        <w:pStyle w:val="Normal"/>
        <w:jc w:val="center"/>
        <w:rPr/>
      </w:pPr>
      <w:r>
        <w:rPr/>
        <w:t>6/1/2001 (continued)</w:t>
      </w:r>
    </w:p>
    <w:p>
      <w:pPr>
        <w:pStyle w:val="Normal"/>
        <w:tabs>
          <w:tab w:val="left" w:pos="720" w:leader="none"/>
        </w:tabs>
        <w:rPr/>
      </w:pPr>
      <w:r>
        <w:rPr/>
      </w:r>
    </w:p>
    <w:p>
      <w:pPr>
        <w:pStyle w:val="Normal"/>
        <w:rPr>
          <w:b/>
          <w:bCs/>
          <w:sz w:val="22"/>
          <w:szCs w:val="22"/>
        </w:rPr>
      </w:pPr>
      <w:r>
        <w:rPr>
          <w:b/>
          <w:bCs/>
          <w:sz w:val="22"/>
          <w:szCs w:val="22"/>
        </w:rPr>
        <w:t>Explanation of Columns in Table 2:</w:t>
      </w:r>
    </w:p>
    <w:p>
      <w:pPr>
        <w:pStyle w:val="Normal"/>
        <w:rPr>
          <w:b/>
          <w:bCs/>
          <w:sz w:val="22"/>
          <w:szCs w:val="22"/>
        </w:rPr>
      </w:pPr>
      <w:r>
        <w:rPr>
          <w:b/>
          <w:bCs/>
          <w:sz w:val="22"/>
          <w:szCs w:val="22"/>
        </w:rPr>
      </w:r>
    </w:p>
    <w:p>
      <w:pPr>
        <w:pStyle w:val="Normal"/>
        <w:rPr>
          <w:sz w:val="22"/>
          <w:szCs w:val="22"/>
        </w:rPr>
      </w:pPr>
      <w:r>
        <w:rPr>
          <w:sz w:val="22"/>
          <w:szCs w:val="22"/>
        </w:rPr>
        <w:t>(a), (a’), (b) and (c) Same as Table 1.</w:t>
      </w:r>
    </w:p>
    <w:p>
      <w:pPr>
        <w:pStyle w:val="BodyText2"/>
        <w:rPr/>
      </w:pPr>
      <w:r>
        <w:rPr/>
        <w:t xml:space="preserve">(j) Status of Electric Interconnection Study:  </w:t>
      </w:r>
    </w:p>
    <w:p>
      <w:pPr>
        <w:pStyle w:val="Normal"/>
        <w:tabs>
          <w:tab w:val="clear" w:pos="720"/>
          <w:tab w:val="left" w:pos="0" w:leader="none"/>
        </w:tabs>
        <w:ind w:start="360" w:end="0"/>
        <w:rPr>
          <w:sz w:val="22"/>
          <w:szCs w:val="22"/>
        </w:rPr>
      </w:pPr>
      <w:r>
        <w:rPr>
          <w:sz w:val="22"/>
          <w:szCs w:val="22"/>
        </w:rPr>
        <w:t>1 = Awaiting request for interconnection study from generator including electric data for generating unit.</w:t>
      </w:r>
    </w:p>
    <w:p>
      <w:pPr>
        <w:pStyle w:val="Normal"/>
        <w:tabs>
          <w:tab w:val="clear" w:pos="720"/>
          <w:tab w:val="left" w:pos="0" w:leader="none"/>
        </w:tabs>
        <w:ind w:start="360" w:end="0"/>
        <w:rPr>
          <w:sz w:val="22"/>
          <w:szCs w:val="22"/>
        </w:rPr>
      </w:pPr>
      <w:r>
        <w:rPr>
          <w:sz w:val="22"/>
          <w:szCs w:val="22"/>
        </w:rPr>
        <w:t>2 = Generator data received on (date), interconnection study results expected on (date).</w:t>
      </w:r>
    </w:p>
    <w:p>
      <w:pPr>
        <w:pStyle w:val="Normal"/>
        <w:tabs>
          <w:tab w:val="clear" w:pos="720"/>
          <w:tab w:val="left" w:pos="0" w:leader="none"/>
        </w:tabs>
        <w:ind w:start="360" w:end="0"/>
        <w:rPr>
          <w:sz w:val="22"/>
          <w:szCs w:val="22"/>
        </w:rPr>
      </w:pPr>
      <w:r>
        <w:rPr>
          <w:sz w:val="22"/>
          <w:szCs w:val="22"/>
        </w:rPr>
        <w:t>3 = Interconnection study completed on (date).</w:t>
      </w:r>
    </w:p>
    <w:p>
      <w:pPr>
        <w:pStyle w:val="Normal"/>
        <w:tabs>
          <w:tab w:val="clear" w:pos="720"/>
          <w:tab w:val="left" w:pos="0" w:leader="none"/>
        </w:tabs>
        <w:ind w:start="360" w:end="0"/>
        <w:rPr>
          <w:sz w:val="22"/>
          <w:szCs w:val="22"/>
        </w:rPr>
      </w:pPr>
      <w:r>
        <w:rPr>
          <w:sz w:val="22"/>
          <w:szCs w:val="22"/>
        </w:rPr>
        <w:t>4 = On hold at generator’s request.</w:t>
      </w:r>
    </w:p>
    <w:p>
      <w:pPr>
        <w:pStyle w:val="Normal"/>
        <w:tabs>
          <w:tab w:val="clear" w:pos="720"/>
          <w:tab w:val="left" w:pos="0" w:leader="none"/>
        </w:tabs>
        <w:ind w:start="360" w:end="0"/>
        <w:rPr>
          <w:sz w:val="22"/>
          <w:szCs w:val="22"/>
        </w:rPr>
      </w:pPr>
      <w:r>
        <w:rPr>
          <w:sz w:val="22"/>
          <w:szCs w:val="22"/>
        </w:rPr>
        <w:t xml:space="preserve">5 = Not applicable, outside PG&amp;E service territory. </w:t>
      </w:r>
    </w:p>
    <w:p>
      <w:pPr>
        <w:pStyle w:val="Normal"/>
        <w:tabs>
          <w:tab w:val="clear" w:pos="720"/>
          <w:tab w:val="left" w:pos="0" w:leader="none"/>
        </w:tabs>
        <w:ind w:start="360" w:end="0"/>
        <w:rPr>
          <w:sz w:val="22"/>
          <w:szCs w:val="22"/>
        </w:rPr>
      </w:pPr>
      <w:r>
        <w:rPr>
          <w:sz w:val="22"/>
          <w:szCs w:val="22"/>
        </w:rPr>
        <w:t>6 = Original interconnection study completed by PG&amp;E.  Additional interconnection analysis requested by generator and estimated to be complete on (date).</w:t>
      </w:r>
    </w:p>
    <w:p>
      <w:pPr>
        <w:pStyle w:val="Normal"/>
        <w:tabs>
          <w:tab w:val="clear" w:pos="720"/>
          <w:tab w:val="left" w:pos="0" w:leader="none"/>
        </w:tabs>
        <w:ind w:start="360" w:end="0"/>
        <w:rPr>
          <w:sz w:val="22"/>
          <w:szCs w:val="22"/>
        </w:rPr>
      </w:pPr>
      <w:r>
        <w:rPr>
          <w:sz w:val="22"/>
          <w:szCs w:val="22"/>
        </w:rPr>
        <w:t>7 = Project canceled, to the best of our knowledge.</w:t>
      </w:r>
    </w:p>
    <w:p>
      <w:pPr>
        <w:pStyle w:val="BodyText2"/>
        <w:rPr/>
      </w:pPr>
      <w:r>
        <w:rPr/>
        <w:t xml:space="preserve">(k) Status of Natural Gas Interconnection Study:  </w:t>
      </w:r>
    </w:p>
    <w:p>
      <w:pPr>
        <w:pStyle w:val="Normal"/>
        <w:tabs>
          <w:tab w:val="clear" w:pos="720"/>
          <w:tab w:val="left" w:pos="0" w:leader="none"/>
        </w:tabs>
        <w:ind w:start="360" w:end="0"/>
        <w:rPr>
          <w:sz w:val="22"/>
          <w:szCs w:val="22"/>
        </w:rPr>
      </w:pPr>
      <w:r>
        <w:rPr>
          <w:sz w:val="22"/>
          <w:szCs w:val="22"/>
        </w:rPr>
        <w:t>1 = Awaiting request for interconnection study from generator including electric data for generating unit.</w:t>
      </w:r>
    </w:p>
    <w:p>
      <w:pPr>
        <w:pStyle w:val="Normal"/>
        <w:tabs>
          <w:tab w:val="clear" w:pos="720"/>
          <w:tab w:val="left" w:pos="0" w:leader="none"/>
        </w:tabs>
        <w:ind w:start="360" w:end="0"/>
        <w:rPr>
          <w:sz w:val="22"/>
          <w:szCs w:val="22"/>
        </w:rPr>
      </w:pPr>
      <w:r>
        <w:rPr>
          <w:sz w:val="22"/>
          <w:szCs w:val="22"/>
        </w:rPr>
        <w:t>2 = Generator data received on (date), interconnection study results expected on (date).</w:t>
      </w:r>
    </w:p>
    <w:p>
      <w:pPr>
        <w:pStyle w:val="Normal"/>
        <w:tabs>
          <w:tab w:val="clear" w:pos="720"/>
          <w:tab w:val="left" w:pos="0" w:leader="none"/>
        </w:tabs>
        <w:ind w:start="360" w:end="0"/>
        <w:rPr>
          <w:sz w:val="22"/>
          <w:szCs w:val="22"/>
        </w:rPr>
      </w:pPr>
      <w:r>
        <w:rPr>
          <w:sz w:val="22"/>
          <w:szCs w:val="22"/>
        </w:rPr>
        <w:t>3 = Interconnection study completed on (date).</w:t>
      </w:r>
    </w:p>
    <w:p>
      <w:pPr>
        <w:pStyle w:val="Normal"/>
        <w:tabs>
          <w:tab w:val="clear" w:pos="720"/>
          <w:tab w:val="left" w:pos="0" w:leader="none"/>
        </w:tabs>
        <w:ind w:start="360" w:end="0"/>
        <w:rPr>
          <w:sz w:val="22"/>
          <w:szCs w:val="22"/>
        </w:rPr>
      </w:pPr>
      <w:r>
        <w:rPr>
          <w:sz w:val="22"/>
          <w:szCs w:val="22"/>
        </w:rPr>
        <w:t>4 = On hold at generator’s request.</w:t>
      </w:r>
    </w:p>
    <w:p>
      <w:pPr>
        <w:pStyle w:val="Normal"/>
        <w:tabs>
          <w:tab w:val="clear" w:pos="720"/>
          <w:tab w:val="left" w:pos="0" w:leader="none"/>
        </w:tabs>
        <w:ind w:start="360" w:end="0"/>
        <w:rPr>
          <w:sz w:val="22"/>
          <w:szCs w:val="22"/>
        </w:rPr>
      </w:pPr>
      <w:r>
        <w:rPr>
          <w:sz w:val="22"/>
          <w:szCs w:val="22"/>
        </w:rPr>
        <w:t>5 = Not applicable, outside PG&amp;E service territory.</w:t>
      </w:r>
    </w:p>
    <w:p>
      <w:pPr>
        <w:pStyle w:val="Normal"/>
        <w:tabs>
          <w:tab w:val="clear" w:pos="720"/>
          <w:tab w:val="left" w:pos="0" w:leader="none"/>
        </w:tabs>
        <w:ind w:start="360" w:end="0"/>
        <w:rPr>
          <w:sz w:val="22"/>
          <w:szCs w:val="22"/>
        </w:rPr>
      </w:pPr>
      <w:r>
        <w:rPr>
          <w:sz w:val="22"/>
          <w:szCs w:val="22"/>
        </w:rPr>
        <w:t>6 = Original interconnection study completed by PG&amp;E.  Additional interconnection analysis requested by generator and estimated to be complete on (date).</w:t>
      </w:r>
    </w:p>
    <w:p>
      <w:pPr>
        <w:pStyle w:val="Normal"/>
        <w:tabs>
          <w:tab w:val="clear" w:pos="720"/>
          <w:tab w:val="left" w:pos="0" w:leader="none"/>
        </w:tabs>
        <w:ind w:start="360" w:end="0"/>
        <w:rPr>
          <w:sz w:val="22"/>
          <w:szCs w:val="22"/>
        </w:rPr>
      </w:pPr>
      <w:r>
        <w:rPr>
          <w:sz w:val="22"/>
          <w:szCs w:val="22"/>
        </w:rPr>
        <w:t>7 = Project canceled, to the best of our knowledge.</w:t>
      </w:r>
    </w:p>
    <w:p>
      <w:pPr>
        <w:pStyle w:val="BodyText2"/>
        <w:rPr/>
      </w:pPr>
      <w:r>
        <w:rPr/>
        <w:t xml:space="preserve">(p) Has the Generator Special Facility Agreement (GSFA) been signed? (This happens after the interconnection study is done and prior to engineering work and construction commencing.  </w:t>
      </w:r>
    </w:p>
    <w:p>
      <w:pPr>
        <w:pStyle w:val="BodyText2"/>
        <w:rPr/>
      </w:pPr>
      <w:r>
        <w:rPr/>
        <w:t>(q) Has engineering work started?  (Likely both the generator and PG&amp;E will share in the engineering work.)</w:t>
      </w:r>
    </w:p>
    <w:p>
      <w:pPr>
        <w:pStyle w:val="BodyText2"/>
        <w:rPr/>
      </w:pPr>
      <w:r>
        <w:rPr/>
        <w:t>(r) Has construction work started? (Likely both the generator and PG&amp;E will share in the engineering work.)</w:t>
      </w:r>
    </w:p>
    <w:p>
      <w:pPr>
        <w:pStyle w:val="BodyText2"/>
        <w:rPr/>
      </w:pPr>
      <w:r>
        <w:rPr/>
        <w:t>(s) Has the natural gas interconnection been completed?</w:t>
      </w:r>
    </w:p>
    <w:p>
      <w:pPr>
        <w:pStyle w:val="BodyText2"/>
        <w:rPr/>
      </w:pPr>
      <w:r>
        <w:rPr/>
        <w:t>(t) Is the ISO required metering in place?</w:t>
      </w:r>
    </w:p>
    <w:p>
      <w:pPr>
        <w:pStyle w:val="Normal"/>
        <w:rPr>
          <w:sz w:val="22"/>
          <w:szCs w:val="22"/>
        </w:rPr>
      </w:pPr>
      <w:r>
        <w:rPr>
          <w:sz w:val="22"/>
          <w:szCs w:val="22"/>
        </w:rPr>
      </w:r>
    </w:p>
    <w:p>
      <w:pPr>
        <w:pStyle w:val="Normal"/>
        <w:rPr>
          <w:sz w:val="22"/>
          <w:szCs w:val="22"/>
        </w:rPr>
      </w:pPr>
      <w:r>
        <w:rPr>
          <w:sz w:val="22"/>
          <w:szCs w:val="22"/>
        </w:rPr>
      </w:r>
    </w:p>
    <w:sectPr>
      <w:type w:val="nextPage"/>
      <w:pgSz w:orient="landscape" w:w="15840" w:h="12240"/>
      <w:pgMar w:left="576" w:right="576" w:gutter="0" w:header="0" w:top="720" w:footer="0"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suff w:val="nothing"/>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rFonts w:ascii="Arial" w:hAnsi="Arial" w:eastAsia="Arial" w:cs="Arial"/>
      <w:b/>
      <w:bCs/>
      <w:kern w:val="2"/>
      <w:sz w:val="18"/>
      <w:szCs w:val="18"/>
    </w:rPr>
  </w:style>
  <w:style w:type="paragraph" w:styleId="Heading3">
    <w:name w:val="heading 3"/>
    <w:basedOn w:val="Normal"/>
    <w:next w:val="Normal"/>
    <w:qFormat/>
    <w:pPr>
      <w:keepNext w:val="true"/>
      <w:numPr>
        <w:ilvl w:val="2"/>
        <w:numId w:val="1"/>
      </w:numPr>
      <w:jc w:val="center"/>
      <w:outlineLvl w:val="2"/>
    </w:pPr>
    <w:rPr>
      <w:rFonts w:ascii="Arial" w:hAnsi="Arial" w:eastAsia="Arial" w:cs="Arial"/>
      <w:b/>
      <w:bCs/>
      <w:kern w:val="2"/>
      <w:sz w:val="20"/>
      <w:szCs w:val="20"/>
    </w:rPr>
  </w:style>
  <w:style w:type="paragraph" w:styleId="Heading4">
    <w:name w:val="heading 4"/>
    <w:basedOn w:val="Normal"/>
    <w:next w:val="Normal"/>
    <w:qFormat/>
    <w:pPr>
      <w:keepNext w:val="true"/>
      <w:numPr>
        <w:ilvl w:val="3"/>
        <w:numId w:val="1"/>
      </w:numPr>
      <w:outlineLvl w:val="3"/>
    </w:pPr>
    <w:rPr>
      <w:rFonts w:ascii="Arial" w:hAnsi="Arial" w:eastAsia="Arial" w:cs="Arial"/>
      <w:b/>
      <w:bCs/>
      <w:kern w:val="2"/>
      <w:sz w:val="20"/>
      <w:szCs w:val="20"/>
    </w:rPr>
  </w:style>
  <w:style w:type="paragraph" w:styleId="Heading5">
    <w:name w:val="heading 5"/>
    <w:basedOn w:val="Normal"/>
    <w:next w:val="Normal"/>
    <w:qFormat/>
    <w:pPr>
      <w:keepNext w:val="true"/>
      <w:numPr>
        <w:ilvl w:val="4"/>
        <w:numId w:val="1"/>
      </w:numPr>
      <w:jc w:val="center"/>
      <w:outlineLvl w:val="4"/>
    </w:pPr>
    <w:rPr>
      <w:rFonts w:ascii="Arial" w:hAnsi="Arial" w:eastAsia="Arial" w:cs="Arial"/>
      <w:b/>
      <w:bCs/>
      <w:kern w:val="2"/>
      <w:sz w:val="16"/>
      <w:szCs w:val="16"/>
    </w:rPr>
  </w:style>
  <w:style w:type="paragraph" w:styleId="Heading6">
    <w:name w:val="heading 6"/>
    <w:basedOn w:val="Normal"/>
    <w:next w:val="Normal"/>
    <w:qFormat/>
    <w:pPr>
      <w:keepNext w:val="true"/>
      <w:numPr>
        <w:ilvl w:val="5"/>
        <w:numId w:val="1"/>
      </w:numPr>
      <w:outlineLvl w:val="5"/>
    </w:pPr>
    <w:rPr>
      <w:b/>
      <w:bCs/>
      <w:sz w:val="22"/>
      <w:szCs w:val="22"/>
    </w:rPr>
  </w:style>
  <w:style w:type="paragraph" w:styleId="Heading7">
    <w:name w:val="heading 7"/>
    <w:basedOn w:val="Normal"/>
    <w:next w:val="Normal"/>
    <w:qFormat/>
    <w:pPr>
      <w:keepNext w:val="true"/>
      <w:numPr>
        <w:ilvl w:val="6"/>
        <w:numId w:val="1"/>
      </w:numPr>
      <w:tabs>
        <w:tab w:val="left" w:pos="720" w:leader="none"/>
      </w:tabs>
      <w:jc w:val="center"/>
      <w:outlineLvl w:val="6"/>
    </w:pPr>
    <w:rPr>
      <w:b/>
      <w:bC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rPr>
      <w:rFonts w:ascii="Arial" w:hAnsi="Arial" w:eastAsia="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360" w:leader="none"/>
      </w:tabs>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2001-06-01T12:37:00Z</dcterms:created>
  <dc:creator>Gerianne Johnson</dc:creator>
  <dc:description/>
  <dc:language>en-CA</dc:language>
  <cp:lastModifiedBy>Gerianne Johnson</cp:lastModifiedBy>
  <cp:lastPrinted>2001-06-01T08:07:00Z</cp:lastPrinted>
  <dcterms:modified xsi:type="dcterms:W3CDTF">2001-06-01T12:37:00Z</dcterms:modified>
  <cp:revision>2</cp:revision>
  <dc:subject/>
  <dc:title>DG Power -- Vaca Dixon substation, Vacaville, 1 natural gas 48 MW Pratt &amp; Whitney CT</dc:title>
</cp:coreProperties>
</file>