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January 15, 1999, is made and entered into by </w:t>
      </w:r>
      <w:r>
        <w:rPr>
          <w:caps/>
          <w:sz w:val="22"/>
        </w:rPr>
        <w:t>Enron Corp.</w:t>
      </w:r>
      <w:r>
        <w:rPr>
          <w:sz w:val="22"/>
        </w:rPr>
        <w:t>, an Oregon corporation (“Guarantor”), in favor of PG&amp;E Energy Trading – Gas Corporation, a California corporation (formerly known as PG&amp;E Energy Trading Corporation) PG&amp;E Energy Trading, Canada Corporation, an Alberta corporation, and PG&amp;E Energy Trading – Power, L.P., a Delaware limited partnership (hereinafter collectively called “Guaranteed Party”).</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WHEREAS, Guaranteed Party and Enron Capital &amp; Trade Resources Corp., a wholly owned direct subsidiary of Guarantor, Enron Capital &amp; Trade Resources Canada Corp., a wholly-owned indirect subsidiary of Guarantor, and Enron Power Marketing, Inc., a wholly-owned indirect subsidiary of Guarantor (hereinafter collectively called “Affiliate”), have entered into or expect to enter into (i) one or more swap, option, or other financially-settled derivative transactions, (ii) one or more agreements for the purchase and sale of natural gas, and (iii) one or more agreements for the purchase and sale of electrical energy, capacity and/or other related services and products, including options thereon (collectively, the “Contracts);</w:t>
      </w:r>
    </w:p>
    <w:p>
      <w:pPr>
        <w:pStyle w:val="Normal"/>
        <w:spacing w:lineRule="atLeast" w:line="240"/>
        <w:ind w:firstLine="720" w:end="0"/>
        <w:jc w:val="both"/>
        <w:rPr>
          <w:sz w:val="22"/>
        </w:rPr>
      </w:pPr>
      <w:r>
        <w:rPr>
          <w:sz w:val="22"/>
        </w:rPr>
      </w:r>
    </w:p>
    <w:p>
      <w:pPr>
        <w:pStyle w:val="BodyText2"/>
        <w:rPr/>
      </w:pPr>
      <w:r>
        <w:rPr/>
        <w:t>WHEREAS, Guarantor executed a Guaranty on February 12, 1998, dated as of August 16, 1996 in favor of PG&amp;E Energy Trading Corporation and PG&amp;E Energy Trading, Canada Corporation, and, whereas, Guarantor executed a Guaranty dated as of February 10, 1998 in favor of PG&amp;E Energy Trading – Power, L.P., as each such guaranty may have been modified, amended and supplemented from time to time (hereinafter collectively referred to as the “Prior Guaranty”), guaranteeing Affiliate’s obligations to Guaranteed Party under certain Contracts between Affiliate and Guaranteed Party; and</w:t>
      </w:r>
    </w:p>
    <w:p>
      <w:pPr>
        <w:pStyle w:val="Normal"/>
        <w:spacing w:lineRule="atLeast" w:line="240"/>
        <w:ind w:firstLine="720" w:end="0"/>
        <w:jc w:val="both"/>
        <w:rPr>
          <w:sz w:val="22"/>
        </w:rPr>
      </w:pPr>
      <w:r>
        <w:rPr>
          <w:sz w:val="22"/>
        </w:rPr>
      </w:r>
    </w:p>
    <w:p>
      <w:pPr>
        <w:pStyle w:val="BodyText2"/>
        <w:rPr/>
      </w:pPr>
      <w:r>
        <w:rPr/>
        <w:t>WHEREAS, Guarantor desires to substitute and replace this Guaranty for the Prior Guaranty and Guaranteed Party agrees to such substitution and replacement;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Contracts to be entered into between Affiliate and Guaranteed 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Guaranteed 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Affiliate (the “Obligations”) to Guaranteed Party under the Contracts, and (b) to the extent Affiliate shall fail to pay any Obligations, Guarantor shall promptly pay to Guaranteed Party, the amount due.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rPr>
      </w:pPr>
      <w:r>
        <w:rPr>
          <w:sz w:val="22"/>
        </w:rPr>
        <w:t>(a)  Guarantor’s liability hereunder shall be and is specifically limited to payments expressly required to be made under the Contracts (even if such payments are deemed to be damages) and, except to the extent the following represent Obligations as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sz w:val="22"/>
        </w:rPr>
      </w:pPr>
      <w:r>
        <w:rPr>
          <w:sz w:val="22"/>
        </w:rPr>
        <w:t>(b)  The aggregate amount covered by this Guaranty shall not exceed U.S. $105,000,000 (the “Guarantee Cap”).</w:t>
      </w:r>
    </w:p>
    <w:p>
      <w:pPr>
        <w:pStyle w:val="Normal"/>
        <w:spacing w:lineRule="atLeast" w:line="240"/>
        <w:jc w:val="both"/>
        <w:rPr>
          <w:sz w:val="22"/>
        </w:rPr>
      </w:pPr>
      <w:r>
        <w:rPr>
          <w:sz w:val="22"/>
        </w:rPr>
      </w:r>
    </w:p>
    <w:p>
      <w:pPr>
        <w:pStyle w:val="Normal"/>
        <w:numPr>
          <w:ilvl w:val="0"/>
          <w:numId w:val="2"/>
        </w:numPr>
        <w:spacing w:lineRule="atLeast" w:line="240"/>
        <w:ind w:firstLine="720" w:start="0" w:end="0"/>
        <w:jc w:val="both"/>
        <w:rPr>
          <w:sz w:val="22"/>
        </w:rPr>
      </w:pPr>
      <w:r>
        <w:rPr>
          <w:sz w:val="22"/>
          <w:u w:val="single"/>
        </w:rPr>
        <w:t>DEMANDS AND NOTICE</w:t>
      </w:r>
      <w:r>
        <w:rPr>
          <w:sz w:val="22"/>
        </w:rPr>
        <w:t>.  If an Affiliate (the “Defaulting Party”) fails or refuses to pay any Obligations, the relevant Guaranteed Party shall notify the Defaulting Party in writing of the manner in which the Defaulting Party has failed to pay and demand that payment be made by the Defaulting Party.  If the Defaulting Party’s failure or refusal to pay continues for a period of fifteen (15) days after the date of Guaranteed Party’s notice to the Defaulting Party, and such Guaranteed Party has elected to exercise its rights under this Guaranty, such Guaranteed Party shall make a demand upon Guarantor (hereinafter referred to as a “Payment Demand”).  A Payment Demand shall be in writing and shall reasonably and briefly specify in what manner and what amount the Defaulting Party has failed to pay and an explanation of why such payment is due, with a specific statement that such Guaranteed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the Defaulting Party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exceeding the Guarantee Cap.  In the event Guarantor receives from Guaranteed Party approximately simultaneous Payment Demands relating to the Contracts in excess of the Guarantee Cap, Guarantor’s total payment up to but not exceeding the Guarantee Cap shall be allocated between the Contracts in accordance with each Contract’s percentage of the total amount demanded by such Guaranteed Party.  In all other instances, Guarantor’s payments hereunder, up to and including, but not in excess of the Guarantee Cap, will be made in the order in which the associated Payment Demands were received.</w:t>
      </w:r>
    </w:p>
    <w:p>
      <w:pPr>
        <w:pStyle w:val="Normal"/>
        <w:spacing w:lineRule="atLeast" w:line="240"/>
        <w:ind w:start="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BodyTextIndent2"/>
        <w:rPr/>
      </w:pPr>
      <w:r>
        <w:rPr/>
        <w:t xml:space="preserve">(a)  it is a corporation duly organized and validly existing under the laws of the State of Oregon and has the corporate power and authority to execute, deliver and carry out the terms and provisions of the Guaranty; </w:t>
      </w:r>
    </w:p>
    <w:p>
      <w:pPr>
        <w:pStyle w:val="BodyTextIndent2"/>
        <w:keepNext w:val="false"/>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Affiliate is or may be entitled to arising from or out of the Contracts, except for defenses arising out of the bankruptcy, insolvency, dissolution or liquidation of any Affiliate.</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Guaranteed 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Affiliate or any other person, or except as expressly hereinabove set forth, to require that either Guaranteed Party seek enforcement of any performance against Affiliate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Guaranteed Party shall not be obligated to file any claim relating to the Obligations owing to it in the event that any Affiliate becomes subject to a bankruptcy, reorganization or similar proceeding and the failure of Guaranteed Party to so file shall not affect the Guarantor’s obligations hereunder.  In the event that any payment to any Guaranteed Party in respect to any Obligations is rescinded or must otherwise be returned for any reason whatsoever, the Guarantor shall remain liable hereunder in respect to such Obligations as if such payment had not been made.</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Guaranteed 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Guaranteed Party and upon the effectiveness of such termination, Guarantor shall have no further liability hereunder, except as provided in the last sentence of this paragraph.  No such termination shall be effective until five (5) business days after receipt by Guaranteed Party of such termination notice.  No such termination shall affect Guarantor's liability with respect to any Transaction (as defined in the Contracts)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Header"/>
        <w:tabs>
          <w:tab w:val="left" w:pos="720" w:leader="none"/>
          <w:tab w:val="center" w:pos="4320" w:leader="none"/>
          <w:tab w:val="right" w:pos="8640" w:leader="none"/>
        </w:tabs>
        <w:ind w:firstLine="720" w:end="0"/>
        <w:jc w:val="both"/>
        <w:rPr/>
      </w:pPr>
      <w:r>
        <w:rPr>
          <w:sz w:val="22"/>
        </w:rPr>
        <w:t>7.</w:t>
        <w:tab/>
        <w:t xml:space="preserve">  </w:t>
      </w:r>
      <w:r>
        <w:rPr>
          <w:sz w:val="22"/>
          <w:u w:val="single"/>
        </w:rPr>
        <w:t>PRIOR GUARANTY</w:t>
      </w:r>
      <w:r>
        <w:rPr>
          <w:sz w:val="22"/>
        </w:rPr>
        <w:t>.  Upon execution and delivery of this Guaranty by Guarantor and Guaranteed Party, the Prior Guaranty shall become null and void and of no further force or effect.  Upon receipt of an originally executed copy of this Guaranty, Guaranteed Party agrees to promptly return the originals of the Prior Guaranty to Affiliate.  It is expressly acknowledged that this Guaranty is given in replacement and substitution of the Prior Guaranty and shall become operative only upon termination of the Prior Guaranty as set forth in this Paragraph 7.</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keepNext w:val="true"/>
        <w:tabs>
          <w:tab w:val="clear" w:pos="720"/>
          <w:tab w:val="left" w:pos="2880" w:leader="none"/>
          <w:tab w:val="left" w:pos="6480" w:leader="none"/>
        </w:tabs>
        <w:spacing w:lineRule="exact" w:line="240"/>
        <w:ind w:start="720" w:end="0"/>
        <w:jc w:val="both"/>
        <w:rPr>
          <w:sz w:val="22"/>
        </w:rPr>
      </w:pPr>
      <w:r>
        <w:rPr>
          <w:sz w:val="22"/>
        </w:rPr>
        <w:t>To Guaranteed Party:</w:t>
        <w:tab/>
        <w:t>PG&amp;E Energy Trading – Gas Corporation</w:t>
      </w:r>
    </w:p>
    <w:p>
      <w:pPr>
        <w:pStyle w:val="Normal"/>
        <w:keepNext w:val="true"/>
        <w:tabs>
          <w:tab w:val="clear" w:pos="720"/>
          <w:tab w:val="left" w:pos="2880" w:leader="none"/>
          <w:tab w:val="left" w:pos="6480" w:leader="none"/>
        </w:tabs>
        <w:spacing w:lineRule="exact" w:line="240"/>
        <w:ind w:start="720" w:end="0"/>
        <w:jc w:val="both"/>
        <w:rPr>
          <w:sz w:val="22"/>
        </w:rPr>
      </w:pPr>
      <w:r>
        <w:rPr>
          <w:sz w:val="22"/>
        </w:rPr>
        <w:tab/>
        <w:t>PG&amp;E Energy Trading, Canada Corporation</w:t>
      </w:r>
    </w:p>
    <w:p>
      <w:pPr>
        <w:pStyle w:val="Normal"/>
        <w:keepNext w:val="true"/>
        <w:tabs>
          <w:tab w:val="clear" w:pos="720"/>
          <w:tab w:val="left" w:pos="2880" w:leader="none"/>
          <w:tab w:val="left" w:pos="6480" w:leader="none"/>
        </w:tabs>
        <w:spacing w:lineRule="exact" w:line="240"/>
        <w:ind w:start="2880" w:end="0"/>
        <w:jc w:val="both"/>
        <w:rPr>
          <w:sz w:val="22"/>
        </w:rPr>
      </w:pPr>
      <w:r>
        <w:rPr>
          <w:sz w:val="22"/>
        </w:rPr>
        <w:t>PG&amp;E Energy Trading – Power, L.P.</w:t>
      </w:r>
    </w:p>
    <w:p>
      <w:pPr>
        <w:pStyle w:val="Normal"/>
        <w:keepNext w:val="true"/>
        <w:tabs>
          <w:tab w:val="clear" w:pos="720"/>
          <w:tab w:val="left" w:pos="6480" w:leader="none"/>
        </w:tabs>
        <w:spacing w:lineRule="exact" w:line="240"/>
        <w:ind w:start="2880" w:end="0"/>
        <w:jc w:val="both"/>
        <w:rPr>
          <w:sz w:val="22"/>
        </w:rPr>
      </w:pPr>
      <w:r>
        <w:rPr>
          <w:sz w:val="22"/>
        </w:rPr>
        <w:t>1100 Louisiana, Suite 1000</w:t>
      </w:r>
    </w:p>
    <w:p>
      <w:pPr>
        <w:pStyle w:val="Normal"/>
        <w:keepNext w:val="true"/>
        <w:tabs>
          <w:tab w:val="clear" w:pos="720"/>
          <w:tab w:val="left" w:pos="6480" w:leader="none"/>
        </w:tabs>
        <w:spacing w:lineRule="exact" w:line="240"/>
        <w:ind w:start="2880" w:end="0"/>
        <w:jc w:val="both"/>
        <w:rPr>
          <w:sz w:val="22"/>
        </w:rPr>
      </w:pPr>
      <w:r>
        <w:rPr>
          <w:sz w:val="22"/>
        </w:rPr>
        <w:t>Houston, Texas  77002</w:t>
      </w:r>
    </w:p>
    <w:p>
      <w:pPr>
        <w:pStyle w:val="Normal"/>
        <w:keepNext w:val="true"/>
        <w:tabs>
          <w:tab w:val="clear" w:pos="720"/>
          <w:tab w:val="left" w:pos="6480" w:leader="none"/>
        </w:tabs>
        <w:spacing w:lineRule="exact" w:line="240"/>
        <w:ind w:start="2880" w:end="0"/>
        <w:jc w:val="both"/>
        <w:rPr>
          <w:sz w:val="22"/>
        </w:rPr>
      </w:pPr>
      <w:r>
        <w:rPr>
          <w:sz w:val="22"/>
        </w:rPr>
        <w:t>Attn:  Chief Financial Officer</w:t>
      </w:r>
    </w:p>
    <w:p>
      <w:pPr>
        <w:pStyle w:val="Normal"/>
        <w:keepNext w:val="true"/>
        <w:tabs>
          <w:tab w:val="clear" w:pos="720"/>
          <w:tab w:val="left" w:pos="6480" w:leader="none"/>
        </w:tabs>
        <w:spacing w:lineRule="exact" w:line="240"/>
        <w:ind w:start="2880" w:end="0"/>
        <w:jc w:val="both"/>
        <w:rPr>
          <w:sz w:val="22"/>
        </w:rPr>
      </w:pPr>
      <w:r>
        <w:rPr>
          <w:sz w:val="22"/>
        </w:rPr>
        <w:t>Fax No.:  (713) 371-6901</w:t>
      </w:r>
    </w:p>
    <w:p>
      <w:pPr>
        <w:pStyle w:val="Normal"/>
        <w:keepNext w:val="true"/>
        <w:tabs>
          <w:tab w:val="clear" w:pos="720"/>
          <w:tab w:val="left" w:pos="6480" w:leader="none"/>
        </w:tabs>
        <w:spacing w:lineRule="exact" w:line="240"/>
        <w:ind w:start="2880" w:end="0"/>
        <w:jc w:val="both"/>
        <w:rPr>
          <w:sz w:val="22"/>
        </w:rPr>
      </w:pPr>
      <w:r>
        <w:rPr>
          <w:sz w:val="22"/>
        </w:rPr>
        <w:t>Phone No.:  (713) 371-6570</w:t>
      </w:r>
    </w:p>
    <w:p>
      <w:pPr>
        <w:pStyle w:val="Normal"/>
        <w:tabs>
          <w:tab w:val="clear" w:pos="720"/>
          <w:tab w:val="left" w:pos="2880" w:leader="none"/>
        </w:tabs>
        <w:spacing w:lineRule="exact" w:line="240" w:before="240" w:after="0"/>
        <w:ind w:start="720" w:end="0"/>
        <w:jc w:val="both"/>
        <w:rPr>
          <w:sz w:val="22"/>
        </w:rPr>
      </w:pPr>
      <w:r>
        <w:rPr>
          <w:sz w:val="22"/>
        </w:rPr>
        <w:t>To Guarantor:</w:t>
        <w:tab/>
        <w:t>Enron Corp.</w:t>
      </w:r>
    </w:p>
    <w:p>
      <w:pPr>
        <w:pStyle w:val="Normal"/>
        <w:spacing w:lineRule="exact" w:line="240"/>
        <w:ind w:start="2880" w:end="0"/>
        <w:jc w:val="both"/>
        <w:rPr>
          <w:sz w:val="22"/>
        </w:rPr>
      </w:pPr>
      <w:r>
        <w:rPr>
          <w:sz w:val="22"/>
        </w:rPr>
        <w:t>1400 Smith Street</w:t>
      </w:r>
    </w:p>
    <w:p>
      <w:pPr>
        <w:pStyle w:val="Normal"/>
        <w:spacing w:lineRule="exact" w:line="240"/>
        <w:ind w:start="2880" w:end="0"/>
        <w:jc w:val="both"/>
        <w:rPr>
          <w:sz w:val="22"/>
        </w:rPr>
      </w:pPr>
      <w:r>
        <w:rPr>
          <w:sz w:val="22"/>
        </w:rPr>
        <w:t>Houston, Texas  77002</w:t>
      </w:r>
    </w:p>
    <w:p>
      <w:pPr>
        <w:pStyle w:val="Normal"/>
        <w:spacing w:lineRule="exact" w:line="240"/>
        <w:ind w:start="2880" w:end="0"/>
        <w:jc w:val="both"/>
        <w:rPr>
          <w:sz w:val="22"/>
        </w:rPr>
      </w:pPr>
      <w:r>
        <w:rPr>
          <w:sz w:val="22"/>
        </w:rPr>
        <w:t>Attn: Vice President, Finance</w:t>
      </w:r>
    </w:p>
    <w:p>
      <w:pPr>
        <w:pStyle w:val="Normal"/>
        <w:spacing w:lineRule="exact" w:line="240"/>
        <w:ind w:start="2880" w:end="0"/>
        <w:jc w:val="both"/>
        <w:rPr>
          <w:sz w:val="22"/>
        </w:rPr>
      </w:pPr>
      <w:r>
        <w:rPr>
          <w:sz w:val="22"/>
        </w:rPr>
        <w:tab/>
        <w:t>and Treasurer</w:t>
      </w:r>
    </w:p>
    <w:p>
      <w:pPr>
        <w:pStyle w:val="Normal"/>
        <w:spacing w:lineRule="exact" w:line="240"/>
        <w:ind w:start="2880" w:end="0"/>
        <w:jc w:val="both"/>
        <w:rPr>
          <w:sz w:val="22"/>
        </w:rPr>
      </w:pPr>
      <w:r>
        <w:rPr>
          <w:sz w:val="22"/>
        </w:rPr>
        <w:t>Fax No.:  (713) 646-3422</w:t>
      </w:r>
    </w:p>
    <w:p>
      <w:pPr>
        <w:pStyle w:val="Normal"/>
        <w:tabs>
          <w:tab w:val="clear" w:pos="720"/>
          <w:tab w:val="left" w:pos="2880" w:leader="none"/>
        </w:tabs>
        <w:spacing w:lineRule="exact" w:line="240" w:before="240" w:after="0"/>
        <w:ind w:start="720" w:end="0"/>
        <w:jc w:val="both"/>
        <w:rPr>
          <w:sz w:val="22"/>
        </w:rPr>
      </w:pPr>
      <w:r>
        <w:rPr>
          <w:sz w:val="22"/>
        </w:rPr>
        <w:t>To Affiliate:</w:t>
        <w:tab/>
        <w:t>Enron Capital &amp; Trade Resources Corp.</w:t>
      </w:r>
    </w:p>
    <w:p>
      <w:pPr>
        <w:pStyle w:val="Normal"/>
        <w:tabs>
          <w:tab w:val="clear" w:pos="720"/>
          <w:tab w:val="left" w:pos="2880" w:leader="none"/>
        </w:tabs>
        <w:spacing w:lineRule="exact" w:line="240"/>
        <w:ind w:start="2880" w:end="0"/>
        <w:jc w:val="both"/>
        <w:rPr>
          <w:sz w:val="22"/>
        </w:rPr>
      </w:pPr>
      <w:r>
        <w:rPr>
          <w:sz w:val="22"/>
        </w:rPr>
        <w:t>Enron Capital &amp; Trade Resources Canada Corp.</w:t>
      </w:r>
    </w:p>
    <w:p>
      <w:pPr>
        <w:pStyle w:val="Normal"/>
        <w:tabs>
          <w:tab w:val="clear" w:pos="720"/>
          <w:tab w:val="left" w:pos="2880" w:leader="none"/>
        </w:tabs>
        <w:spacing w:lineRule="exact" w:line="240"/>
        <w:ind w:start="2880" w:end="0"/>
        <w:jc w:val="both"/>
        <w:rPr>
          <w:sz w:val="22"/>
        </w:rPr>
      </w:pPr>
      <w:r>
        <w:rPr>
          <w:sz w:val="22"/>
        </w:rPr>
        <w:t>Enron Power Marketing, Inc.</w:t>
      </w:r>
    </w:p>
    <w:p>
      <w:pPr>
        <w:pStyle w:val="Normal"/>
        <w:spacing w:lineRule="exact" w:line="240"/>
        <w:ind w:start="2880" w:end="0"/>
        <w:jc w:val="both"/>
        <w:rPr>
          <w:sz w:val="22"/>
        </w:rPr>
      </w:pPr>
      <w:r>
        <w:rPr>
          <w:sz w:val="22"/>
        </w:rPr>
        <w:t>1400 Smith Street</w:t>
      </w:r>
    </w:p>
    <w:p>
      <w:pPr>
        <w:pStyle w:val="Normal"/>
        <w:spacing w:lineRule="exact" w:line="240"/>
        <w:ind w:start="2880" w:end="0"/>
        <w:jc w:val="both"/>
        <w:rPr>
          <w:sz w:val="22"/>
        </w:rPr>
      </w:pPr>
      <w:r>
        <w:rPr>
          <w:sz w:val="22"/>
        </w:rPr>
        <w:t>Houston, Texas  77002</w:t>
      </w:r>
    </w:p>
    <w:p>
      <w:pPr>
        <w:pStyle w:val="Normal"/>
        <w:spacing w:lineRule="exact" w:line="240"/>
        <w:ind w:start="2880" w:end="0"/>
        <w:jc w:val="both"/>
        <w:rPr>
          <w:sz w:val="22"/>
        </w:rPr>
      </w:pPr>
      <w:r>
        <w:rPr>
          <w:sz w:val="22"/>
        </w:rPr>
        <w:t>Attn:  Asst. General Counsel, Trading Group</w:t>
      </w:r>
    </w:p>
    <w:p>
      <w:pPr>
        <w:pStyle w:val="Normal"/>
        <w:spacing w:lineRule="exact" w:line="240"/>
        <w:ind w:start="2880" w:end="0"/>
        <w:jc w:val="both"/>
        <w:rPr>
          <w:sz w:val="22"/>
        </w:rPr>
      </w:pPr>
      <w:r>
        <w:rPr>
          <w:sz w:val="22"/>
        </w:rPr>
        <w:t>Fax No.:  (713) 646-4818</w:t>
      </w:r>
    </w:p>
    <w:p>
      <w:pPr>
        <w:pStyle w:val="Normal"/>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Capital &amp; Trade Resources Corp., Attention: Corporate Secretary, Fax No. (713) 853-2534.</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notice to Guaranteed Party by fax shall be accompanied by telephone notification to the person named above.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MISCELLANEOUS</w:t>
      </w:r>
      <w:r>
        <w:rPr>
          <w:sz w:val="22"/>
        </w:rPr>
        <w:t xml:space="preserve">.  </w:t>
      </w:r>
      <w:r>
        <w:rPr>
          <w:b/>
          <w:sz w:val="22"/>
        </w:rPr>
        <w:t>THIS GUARANTY SHALL IN ALL RESPECTS BE GOVERNED BY, AND CONSTRUED IN ACCORDANCE WITH, THE LAW OF THE STATE OF TEXAS, WITHOUT REGARD TO PRINCIPLES OF CONFLICTS OF LAWS.</w:t>
      </w:r>
      <w:r>
        <w:rPr>
          <w:sz w:val="22"/>
        </w:rPr>
        <w:t xml:space="preserve">  This Guaranty shall be binding upon Guarantor, its successors and assigns and inure to the benefit of and be enforceable by Guaranteed Party, their successors and assigns.  The Guaranty embodies the entire agreement and understanding between Guarantor and Guaranteed Party and supersedes all prior agreements and understandings relating to the subject matter hereof, including the Prior Guaranty.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___________, 1999.</w:t>
      </w:r>
    </w:p>
    <w:p>
      <w:pPr>
        <w:pStyle w:val="Normal"/>
        <w:spacing w:lineRule="atLeast" w:line="240"/>
        <w:ind w:firstLine="72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napToGrid w:val="false"/>
              <w:spacing w:lineRule="exact" w:line="240"/>
              <w:jc w:val="both"/>
              <w:rPr>
                <w:sz w:val="22"/>
              </w:rPr>
            </w:pPr>
            <w:r>
              <w:rPr>
                <w:sz w:val="22"/>
              </w:rPr>
            </w:r>
          </w:p>
        </w:tc>
        <w:tc>
          <w:tcPr>
            <w:tcW w:w="4788" w:type="dxa"/>
            <w:tcBorders/>
          </w:tcPr>
          <w:p>
            <w:pPr>
              <w:pStyle w:val="Normal"/>
              <w:keepNext w:val="true"/>
              <w:spacing w:lineRule="exact" w:line="240"/>
              <w:jc w:val="both"/>
              <w:rPr>
                <w:sz w:val="22"/>
              </w:rPr>
            </w:pPr>
            <w:r>
              <w:rPr>
                <w:b/>
                <w:sz w:val="22"/>
              </w:rPr>
              <w:t>ENRON CORP.</w:t>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tc>
      </w:tr>
    </w:tbl>
    <w:p>
      <w:pPr>
        <w:pStyle w:val="Normal"/>
        <w:spacing w:lineRule="atLeast" w:line="240"/>
        <w:ind w:firstLine="72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sz w:val="22"/>
              </w:rPr>
              <w:t>Accepted and Agreed:</w:t>
            </w:r>
          </w:p>
          <w:p>
            <w:pPr>
              <w:pStyle w:val="Normal"/>
              <w:keepNext w:val="true"/>
              <w:spacing w:lineRule="exact" w:line="240"/>
              <w:jc w:val="both"/>
              <w:rPr>
                <w:sz w:val="22"/>
              </w:rPr>
            </w:pPr>
            <w:r>
              <w:rPr>
                <w:sz w:val="22"/>
              </w:rPr>
            </w:r>
          </w:p>
          <w:p>
            <w:pPr>
              <w:pStyle w:val="BodyText"/>
              <w:jc w:val="start"/>
              <w:rPr/>
            </w:pPr>
            <w:r>
              <w:rPr/>
              <w:t>PG&amp;E ENERGY TRADING - GAS CORPORATION</w:t>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tc>
        <w:tc>
          <w:tcPr>
            <w:tcW w:w="4788" w:type="dxa"/>
            <w:tcBorders/>
          </w:tcPr>
          <w:p>
            <w:pPr>
              <w:pStyle w:val="Normal"/>
              <w:keepNext w:val="true"/>
              <w:snapToGrid w:val="false"/>
              <w:spacing w:lineRule="exact" w:line="240"/>
              <w:jc w:val="both"/>
              <w:rPr>
                <w:sz w:val="22"/>
              </w:rPr>
            </w:pPr>
            <w:r>
              <w:rPr>
                <w:sz w:val="22"/>
              </w:rPr>
            </w:r>
          </w:p>
        </w:tc>
      </w:tr>
    </w:tbl>
    <w:p>
      <w:pPr>
        <w:pStyle w:val="Normal"/>
        <w:spacing w:lineRule="atLeast" w:line="240"/>
        <w:ind w:firstLine="72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WW-BodyText2"/>
              <w:rPr/>
            </w:pPr>
            <w:r>
              <w:rPr/>
              <w:t>PG&amp;E ENERGY TRADING, CANADA CORPORATION</w:t>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tc>
        <w:tc>
          <w:tcPr>
            <w:tcW w:w="4788" w:type="dxa"/>
            <w:tcBorders/>
          </w:tcPr>
          <w:p>
            <w:pPr>
              <w:pStyle w:val="Normal"/>
              <w:keepNext w:val="true"/>
              <w:snapToGrid w:val="false"/>
              <w:spacing w:lineRule="exact" w:line="240"/>
              <w:jc w:val="both"/>
              <w:rPr>
                <w:sz w:val="22"/>
              </w:rPr>
            </w:pPr>
            <w:r>
              <w:rPr>
                <w:sz w:val="22"/>
              </w:rPr>
            </w:r>
          </w:p>
        </w:tc>
      </w:tr>
    </w:tbl>
    <w:p>
      <w:pPr>
        <w:pStyle w:val="Normal"/>
        <w:rPr>
          <w:sz w:val="16"/>
        </w:rPr>
      </w:pPr>
      <w:r>
        <w:rPr>
          <w:sz w:val="16"/>
        </w:rPr>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WW-BodyText2"/>
              <w:rPr/>
            </w:pPr>
            <w:r>
              <w:rPr/>
              <w:t>PG&amp;E ENERGY TRADING – POWER, L.P.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t>By its sole general partner, PG&amp;E Energy Trading – Power Holdings Corporation</w:t>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tc>
        <w:tc>
          <w:tcPr>
            <w:tcW w:w="4608" w:type="dxa"/>
            <w:tcBorders/>
          </w:tcPr>
          <w:p>
            <w:pPr>
              <w:pStyle w:val="Normal"/>
              <w:keepNext w:val="true"/>
              <w:snapToGrid w:val="false"/>
              <w:spacing w:lineRule="exact" w:line="240"/>
              <w:jc w:val="both"/>
              <w:rPr>
                <w:sz w:val="22"/>
              </w:rPr>
            </w:pPr>
            <w:r>
              <w:rPr>
                <w:sz w:val="22"/>
              </w:rPr>
            </w:r>
          </w:p>
        </w:tc>
      </w:tr>
    </w:tbl>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/mnt/main-storage/datasets/enron-docs/doc/pg_eguarantya.doc</w:t>
    </w:r>
    <w:r>
      <w:rPr>
        <w:rStyle w:val="PageNumber"/>
        <w:sz w:val="16"/>
      </w:rPr>
      <w:fldChar w:fldCharType="end"/>
    </w:r>
  </w:p>
  <w:p>
    <w:pPr>
      <w:pStyle w:val="Footer"/>
      <w:jc w:val="center"/>
      <w:rPr>
        <w:rStyle w:val="PageNumber"/>
        <w:sz w:val="16"/>
      </w:rPr>
    </w:pPr>
    <w:r>
      <w:rPr/>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
      <w:lvlJc w:val="start"/>
      <w:pPr>
        <w:tabs>
          <w:tab w:val="num" w:pos="360"/>
        </w:tabs>
        <w:ind w:start="1080" w:hanging="360"/>
      </w:pPr>
      <w:rPr>
        <w:sz w:val="22"/>
        <w:i w:val="false"/>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WW8Num1z0">
    <w:name w:val="WW8Num1z0"/>
    <w:qFormat/>
    <w:rPr>
      <w:b w:val="false"/>
      <w:i w:val="false"/>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spacing w:lineRule="exact" w:line="240"/>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ind w:firstLine="720" w:start="0" w:end="0"/>
      <w:jc w:val="both"/>
    </w:pPr>
    <w:rPr>
      <w:sz w:val="22"/>
    </w:rPr>
  </w:style>
  <w:style w:type="paragraph" w:styleId="WW-BodyText2">
    <w:name w:val="WW-Body Text 2"/>
    <w:basedOn w:val="Normal"/>
    <w:qFormat/>
    <w:pPr>
      <w:keepNext w:val="true"/>
      <w:spacing w:lineRule="exact" w:line="240"/>
    </w:pPr>
    <w:rPr>
      <w:b/>
      <w:sz w:val="22"/>
    </w:rPr>
  </w:style>
  <w:style w:type="paragraph" w:styleId="BodyTextIndent2">
    <w:name w:val="Body Text Indent 2"/>
    <w:basedOn w:val="Normal"/>
    <w:qFormat/>
    <w:pPr>
      <w:keepNext w:val="true"/>
      <w:spacing w:lineRule="exact" w:line="240" w:before="240" w:after="0"/>
      <w:ind w:hanging="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1999-01-11T13:35:00Z</dcterms:created>
  <dc:creator>ECT</dc:creator>
  <dc:description/>
  <dc:language>en-CA</dc:language>
  <cp:lastModifiedBy>tjones</cp:lastModifiedBy>
  <cp:lastPrinted>1999-01-13T16:21:00Z</cp:lastPrinted>
  <dcterms:modified xsi:type="dcterms:W3CDTF">1999-01-13T19:52:00Z</dcterms:modified>
  <cp:revision>15</cp:revision>
  <dc:subject/>
  <dc:title>ENRON CORP</dc:title>
</cp:coreProperties>
</file>