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NORTH AMERICA CORP./PG&amp;E CORE</w:t>
      </w:r>
    </w:p>
    <w:p>
      <w:pPr>
        <w:pStyle w:val="Normal"/>
        <w:jc w:val="center"/>
        <w:rPr>
          <w:b/>
        </w:rPr>
      </w:pPr>
      <w:r>
        <w:rPr>
          <w:b/>
        </w:rPr>
        <w:t>Natural Gas - ENFOLIO</w:t>
      </w:r>
      <w:r>
        <w:rPr>
          <w:rFonts w:eastAsia="Symbol" w:cs="Symbol" w:ascii="Symbol" w:hAnsi="Symbol"/>
          <w:b/>
        </w:rPr>
        <w:sym w:font="Symbol" w:char="f0e2"/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73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62"/>
        <w:gridCol w:w="3462"/>
        <w:gridCol w:w="3462"/>
        <w:gridCol w:w="3462"/>
        <w:gridCol w:w="3462"/>
      </w:tblGrid>
      <w:tr>
        <w:trPr>
          <w:tblHeader w:val="true"/>
          <w:trHeight w:val="804" w:hRule="atLeast"/>
        </w:trPr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Events of Default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(EoD)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Notice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Procedures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Termination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Procedures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Netting/Set-off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Pre-Default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Netting/Set-off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Post-Default</w:t>
            </w:r>
          </w:p>
        </w:tc>
      </w:tr>
      <w:tr>
        <w:trPr>
          <w:trHeight w:val="3571" w:hRule="atLeast"/>
        </w:trPr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Events of Default (Triggering Events) include: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  Failure to make a payment when due or perform any other commitment within 3 days after notice.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  File a petition or commence a proceeding under any bankruptcy law.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  Otherwise become insolvent.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  Failure to schedule the Daily Contract Quantity for 10 or more days in a 3 month period.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  Except on a bankruptcy Triggering Event, if a Triggering Event occurs the non-defaulting party ("NDP") establishes a day, on three days written notice, when all transactions terminate ("ETD").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2.  Upon bankruptcy </w:t>
            </w:r>
            <w:r>
              <w:rPr>
                <w:rFonts w:cs="Arial" w:ascii="Arial" w:hAnsi="Arial"/>
                <w:color w:val="000000"/>
                <w:sz w:val="16"/>
                <w:u w:val="single"/>
                <w:lang w:eastAsia="en-US"/>
              </w:rPr>
              <w:t>all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 transactions automatically terminate.  No procedure is specified for determining the ETD, so it appears to be April 6, 2001.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  The contract and confirmations do not specify the address for notice to PG&amp;E.  The address on the confirmation is: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PG&amp;E Core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Gas Procurement Mail Code N14B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P.O. Box 77000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San Francisco, California  44117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Attn:  Document Department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Fax No:  (415) 973-0750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Trans. No. QB8206.1/500415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  Determination of amount of Termination Payment ("TP").</w:t>
            </w:r>
          </w:p>
          <w:p>
            <w:pPr>
              <w:pStyle w:val="Normal"/>
              <w:ind w:hanging="456" w:start="45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a.  Compare value of remaining obligations under each transaction to the equivalent quantities and relevant market prices for the remaining period of the transaction either (i) based or quotes by a bona fide third party offer, or (ii) which are reasonably expected to be available in the market under a replacement contract.</w:t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b.  Include associated costs and attorneys fees.</w:t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  The NDP provides the DP a written statement of the amount of the TP.</w:t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3.  If the DP owes a TP its payment is due within 10 days of receipt of the statement.</w:t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4.  If the NDP owes the DP a TP it is due 10 days after the DP's receipt of the statement.</w:t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ind w:start="6" w:end="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5.  Texas law governs.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  Obligations to make payment under all transactions governed by the contract may be offset against each other, set off or recouped or netted for payment.</w:t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1.  All terminated transactions are netted against each other.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2.  Upon occurrence of an Event of Default NDP can withhold payments.  Does not address deliveries.</w:t>
            </w:r>
          </w:p>
        </w:tc>
      </w:tr>
      <w:tr>
        <w:trPr>
          <w:trHeight w:val="3571" w:hRule="atLeast"/>
        </w:trPr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46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</w:tbl>
    <w:p>
      <w:pPr>
        <w:pStyle w:val="Normal"/>
        <w:tabs>
          <w:tab w:val="clear" w:pos="720"/>
          <w:tab w:val="left" w:pos="990" w:leader="none"/>
        </w:tabs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20160" w:h="122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>
      <w:rPr>
        <w:sz w:val="14"/>
      </w:rPr>
      <w:t>HN 46637.2 02618 00125 4/8/01 6:05:14 PM</w:t>
    </w:r>
    <w:r>
      <w:rPr>
        <w:sz w:val="1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/>
  </w:style>
  <w:style w:type="character" w:styleId="WW8Num2z0">
    <w:name w:val="WW8Num2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Hidden">
    <w:name w:val="Hidden"/>
    <w:basedOn w:val="DefaultParagraphFont"/>
    <w:qFormat/>
    <w:rPr>
      <w:vanish/>
      <w:color w:val="FF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2001-04-08T12:23:00Z</dcterms:created>
  <dc:creator>LeBoeuf, Lamb, Greene &amp; MacRae, L.L.P.</dc:creator>
  <dc:description/>
  <cp:keywords>HN 46637.2 02618 00125 4/8/01 6:05:14 PM</cp:keywords>
  <dc:language>en-CA</dc:language>
  <cp:lastModifiedBy>LeBoeuf, Lamb, Greene &amp; MacRae, L.L.P.</cp:lastModifiedBy>
  <cp:lastPrinted>2001-04-08T18:05:00Z</cp:lastPrinted>
  <dcterms:modified xsi:type="dcterms:W3CDTF">2001-04-08T20:35:00Z</dcterms:modified>
  <cp:revision>9</cp:revision>
  <dc:subject/>
  <dc:title>Heading 1</dc:title>
</cp:coreProperties>
</file>