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b/>
          <w:i/>
          <w:i/>
          <w:u w:val="single"/>
        </w:rPr>
      </w:pPr>
      <w:r>
        <w:rPr>
          <w:b/>
          <w:i/>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b/>
          <w:i/>
          <w:i/>
        </w:rPr>
      </w:pPr>
      <w:r>
        <w:rPr>
          <w:b/>
          <w:i/>
        </w:rPr>
        <w:t xml:space="preserve">EXHIBIT C </w:t>
      </w:r>
    </w:p>
    <w:p>
      <w:pPr>
        <w:pStyle w:val="Normal"/>
        <w:jc w:val="end"/>
        <w:rPr>
          <w:b/>
          <w:i/>
          <w:i/>
        </w:rPr>
      </w:pPr>
      <w:r>
        <w:rPr>
          <w:b/>
          <w:i/>
        </w:rPr>
        <w:t>Form of Counterparty’s Counsel’s Opinion</w:t>
      </w:r>
    </w:p>
    <w:p>
      <w:pPr>
        <w:pStyle w:val="Normal"/>
        <w:tabs>
          <w:tab w:val="clear" w:pos="720"/>
          <w:tab w:val="left" w:pos="-1440" w:leader="none"/>
        </w:tabs>
        <w:rPr>
          <w:b/>
          <w:i/>
          <w:i/>
          <w:sz w:val="28"/>
        </w:rPr>
      </w:pPr>
      <w:r>
        <w:rPr>
          <w:b/>
          <w:i/>
          <w:sz w:val="28"/>
        </w:rPr>
      </w:r>
    </w:p>
    <w:p>
      <w:pPr>
        <w:pStyle w:val="Normal"/>
        <w:rPr>
          <w:b/>
          <w:sz w:val="28"/>
        </w:rPr>
      </w:pPr>
      <w:r>
        <w:rPr>
          <w:b/>
          <w:sz w:val="28"/>
        </w:rPr>
      </w:r>
    </w:p>
    <w:p>
      <w:pPr>
        <w:pStyle w:val="Normal"/>
        <w:rPr>
          <w:sz w:val="22"/>
        </w:rPr>
      </w:pPr>
      <w:r>
        <w:rPr>
          <w:sz w:val="22"/>
        </w:rPr>
      </w:r>
    </w:p>
    <w:p>
      <w:pPr>
        <w:pStyle w:val="Normal"/>
        <w:jc w:val="center"/>
        <w:rPr>
          <w:sz w:val="22"/>
        </w:rPr>
      </w:pPr>
      <w:r>
        <w:rPr>
          <w:sz w:val="22"/>
        </w:rPr>
        <w:t>[LETTERHEAD OF  COUNTERPARTY'S LEGAL COUNSEL]</w:t>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rPr/>
      </w:pPr>
      <w:r>
        <w:rPr>
          <w:sz w:val="22"/>
        </w:rPr>
        <w:t>[</w:t>
      </w:r>
      <w:r>
        <w:rPr>
          <w:i/>
          <w:sz w:val="22"/>
        </w:rPr>
        <w:t>Date</w:t>
      </w:r>
      <w:r>
        <w:rPr>
          <w:sz w:val="22"/>
        </w:rPr>
        <w:t>]</w:t>
      </w:r>
    </w:p>
    <w:p>
      <w:pPr>
        <w:pStyle w:val="Normal"/>
        <w:rPr>
          <w:sz w:val="22"/>
        </w:rPr>
      </w:pPr>
      <w:r>
        <w:rPr>
          <w:sz w:val="22"/>
        </w:rPr>
      </w:r>
    </w:p>
    <w:p>
      <w:pPr>
        <w:pStyle w:val="Normal"/>
        <w:rPr>
          <w:sz w:val="22"/>
        </w:rPr>
      </w:pPr>
      <w:r>
        <w:rPr>
          <w:sz w:val="22"/>
        </w:rPr>
      </w:r>
    </w:p>
    <w:p>
      <w:pPr>
        <w:pStyle w:val="Normal"/>
        <w:rPr>
          <w:sz w:val="22"/>
        </w:rPr>
      </w:pPr>
      <w:r>
        <w:rPr>
          <w:sz w:val="22"/>
        </w:rPr>
        <w:t>Enron Capital &amp; Trade Resources International Corp.</w:t>
      </w:r>
    </w:p>
    <w:p>
      <w:pPr>
        <w:pStyle w:val="Normal"/>
        <w:rPr>
          <w:sz w:val="22"/>
        </w:rPr>
      </w:pPr>
      <w:r>
        <w:rPr>
          <w:sz w:val="22"/>
        </w:rPr>
        <w:t>c/o Enron Europe Finance &amp; Trading Limited</w:t>
      </w:r>
    </w:p>
    <w:p>
      <w:pPr>
        <w:pStyle w:val="Normal"/>
        <w:rPr>
          <w:sz w:val="22"/>
        </w:rPr>
      </w:pPr>
      <w:r>
        <w:rPr>
          <w:sz w:val="22"/>
        </w:rPr>
        <w:t>Four Millbank</w:t>
      </w:r>
    </w:p>
    <w:p>
      <w:pPr>
        <w:pStyle w:val="Normal"/>
        <w:rPr>
          <w:sz w:val="22"/>
        </w:rPr>
      </w:pPr>
      <w:r>
        <w:rPr>
          <w:sz w:val="22"/>
        </w:rPr>
        <w:t>London SW1P 3ET</w:t>
      </w:r>
    </w:p>
    <w:p>
      <w:pPr>
        <w:pStyle w:val="Normal"/>
        <w:rPr>
          <w:sz w:val="22"/>
        </w:rPr>
      </w:pPr>
      <w:r>
        <w:rPr>
          <w:sz w:val="22"/>
        </w:rPr>
        <w:t>United Kingdom</w:t>
      </w:r>
    </w:p>
    <w:p>
      <w:pPr>
        <w:pStyle w:val="Normal"/>
        <w:rPr>
          <w:sz w:val="22"/>
        </w:rPr>
      </w:pPr>
      <w:r>
        <w:rPr>
          <w:sz w:val="22"/>
        </w:rPr>
      </w:r>
    </w:p>
    <w:p>
      <w:pPr>
        <w:pStyle w:val="Normal"/>
        <w:rPr>
          <w:sz w:val="22"/>
        </w:rPr>
      </w:pPr>
      <w:r>
        <w:rPr>
          <w:sz w:val="22"/>
        </w:rPr>
      </w:r>
    </w:p>
    <w:p>
      <w:pPr>
        <w:pStyle w:val="Normal"/>
        <w:rPr>
          <w:sz w:val="22"/>
        </w:rPr>
      </w:pPr>
      <w:r>
        <w:rPr>
          <w:sz w:val="22"/>
        </w:rPr>
        <w:t>Ladies and Gentlemen:</w:t>
      </w:r>
    </w:p>
    <w:p>
      <w:pPr>
        <w:pStyle w:val="Normal"/>
        <w:rPr>
          <w:sz w:val="22"/>
        </w:rPr>
      </w:pPr>
      <w:r>
        <w:rPr>
          <w:sz w:val="22"/>
        </w:rPr>
      </w:r>
    </w:p>
    <w:p>
      <w:pPr>
        <w:pStyle w:val="Normal"/>
        <w:rPr>
          <w:sz w:val="22"/>
        </w:rPr>
      </w:pPr>
      <w:r>
        <w:rPr>
          <w:b/>
          <w:sz w:val="22"/>
        </w:rPr>
        <w:t>ISDA MASTER AGREEMENT AND SCHEDULE ENTERED INTO BETWEEN ENRON CAPITAL &amp; TRADE RESOURCES INTERNATIONAL CORP.  AND PETRON CORPORATION DATED AS OF ________________</w:t>
      </w:r>
    </w:p>
    <w:p>
      <w:pPr>
        <w:pStyle w:val="Normal"/>
        <w:rPr>
          <w:sz w:val="22"/>
        </w:rPr>
      </w:pPr>
      <w:r>
        <w:rPr>
          <w:sz w:val="22"/>
        </w:rPr>
      </w:r>
    </w:p>
    <w:p>
      <w:pPr>
        <w:pStyle w:val="Normal"/>
        <w:jc w:val="both"/>
        <w:rPr>
          <w:sz w:val="22"/>
        </w:rPr>
      </w:pPr>
      <w:r>
        <w:rPr>
          <w:sz w:val="22"/>
        </w:rPr>
        <w:t>We have acted as counsel to Petron Corporation (the “Counterparty”) in  connection with the ISDA (Multicurrency-Crossborder) Master Agreement and the Schedule attached thereto (the “Schedule”) dated as of ________________, 199__  (collectively referred to as the “Agreement”) made between Enron Capital &amp; Trade Resources International Corp. (“ECTRI”) and  the Counterparty.</w:t>
      </w:r>
    </w:p>
    <w:p>
      <w:pPr>
        <w:pStyle w:val="Normal"/>
        <w:jc w:val="both"/>
        <w:rPr>
          <w:sz w:val="22"/>
        </w:rPr>
      </w:pPr>
      <w:r>
        <w:rPr>
          <w:sz w:val="22"/>
        </w:rPr>
      </w:r>
    </w:p>
    <w:p>
      <w:pPr>
        <w:pStyle w:val="Normal"/>
        <w:jc w:val="both"/>
        <w:rPr>
          <w:sz w:val="22"/>
        </w:rPr>
      </w:pPr>
      <w:r>
        <w:rPr>
          <w:sz w:val="22"/>
        </w:rPr>
        <w:t>Terms defined in the Agreement and used but not defined herein have the same meanings given to them in the Agreement.</w:t>
      </w:r>
    </w:p>
    <w:p>
      <w:pPr>
        <w:pStyle w:val="Normal"/>
        <w:jc w:val="both"/>
        <w:rPr>
          <w:sz w:val="22"/>
        </w:rPr>
      </w:pPr>
      <w:r>
        <w:rPr>
          <w:sz w:val="22"/>
        </w:rPr>
      </w:r>
    </w:p>
    <w:p>
      <w:pPr>
        <w:pStyle w:val="Normal"/>
        <w:jc w:val="both"/>
        <w:rPr>
          <w:sz w:val="22"/>
        </w:rPr>
      </w:pPr>
      <w:r>
        <w:rPr>
          <w:sz w:val="22"/>
        </w:rPr>
        <w:t>1.</w:t>
        <w:tab/>
      </w:r>
      <w:r>
        <w:rPr>
          <w:sz w:val="22"/>
          <w:u w:val="single"/>
        </w:rPr>
        <w:t>DOCUMENTS</w:t>
      </w:r>
    </w:p>
    <w:p>
      <w:pPr>
        <w:pStyle w:val="Normal"/>
        <w:ind w:hanging="720" w:start="720" w:end="0"/>
        <w:jc w:val="both"/>
        <w:rPr>
          <w:sz w:val="22"/>
        </w:rPr>
      </w:pPr>
      <w:r>
        <w:rPr>
          <w:sz w:val="22"/>
        </w:rPr>
        <w:tab/>
      </w:r>
    </w:p>
    <w:p>
      <w:pPr>
        <w:pStyle w:val="Normal"/>
        <w:ind w:start="720" w:end="0"/>
        <w:jc w:val="both"/>
        <w:rPr>
          <w:sz w:val="22"/>
        </w:rPr>
      </w:pPr>
      <w:r>
        <w:rPr>
          <w:sz w:val="22"/>
        </w:rPr>
        <w:t>In such capacity, we have examined a copy of the executed Agreement.  We have also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w:t>
      </w:r>
    </w:p>
    <w:p>
      <w:pPr>
        <w:pStyle w:val="Normal"/>
        <w:ind w:hanging="720" w:start="1440" w:end="0"/>
        <w:jc w:val="both"/>
        <w:rPr>
          <w:sz w:val="22"/>
        </w:rPr>
      </w:pPr>
      <w:r>
        <w:rPr>
          <w:sz w:val="22"/>
        </w:rPr>
      </w:r>
    </w:p>
    <w:p>
      <w:pPr>
        <w:pStyle w:val="Normal"/>
        <w:ind w:hanging="720" w:start="720" w:end="0"/>
        <w:jc w:val="both"/>
        <w:rPr>
          <w:sz w:val="22"/>
        </w:rPr>
      </w:pPr>
      <w:r>
        <w:rPr>
          <w:sz w:val="22"/>
        </w:rPr>
        <w:t>2.</w:t>
        <w:tab/>
      </w:r>
      <w:r>
        <w:rPr>
          <w:sz w:val="22"/>
          <w:u w:val="single"/>
        </w:rPr>
        <w:t>LAWS OF THE REPUBLIC OF THE PHILIPPINES</w:t>
      </w:r>
    </w:p>
    <w:p>
      <w:pPr>
        <w:pStyle w:val="Normal"/>
        <w:ind w:hanging="720" w:start="720" w:end="0"/>
        <w:jc w:val="both"/>
        <w:rPr>
          <w:sz w:val="22"/>
        </w:rPr>
      </w:pPr>
      <w:r>
        <w:rPr>
          <w:sz w:val="22"/>
        </w:rPr>
      </w:r>
    </w:p>
    <w:p>
      <w:pPr>
        <w:pStyle w:val="Normal"/>
        <w:ind w:hanging="720" w:start="720" w:end="0"/>
        <w:jc w:val="both"/>
        <w:rPr>
          <w:sz w:val="22"/>
        </w:rPr>
      </w:pPr>
      <w:r>
        <w:rPr>
          <w:sz w:val="22"/>
        </w:rPr>
        <w:tab/>
        <w:t>The opinions given below are limited to matters concerning  the laws of  the Republic of the Philippines and we express no opinion with respect to the laws of any jurisdiction other than the Republic of the Philippines.</w:t>
      </w:r>
    </w:p>
    <w:p>
      <w:pPr>
        <w:pStyle w:val="Normal"/>
        <w:ind w:hanging="720" w:start="720" w:end="0"/>
        <w:jc w:val="both"/>
        <w:rPr>
          <w:sz w:val="22"/>
        </w:rPr>
      </w:pPr>
      <w:r>
        <w:rPr>
          <w:sz w:val="22"/>
        </w:rPr>
      </w:r>
    </w:p>
    <w:p>
      <w:pPr>
        <w:pStyle w:val="Normal"/>
        <w:ind w:hanging="720" w:start="720" w:end="0"/>
        <w:jc w:val="both"/>
        <w:rPr>
          <w:sz w:val="22"/>
        </w:rPr>
      </w:pPr>
      <w:r>
        <w:rPr>
          <w:sz w:val="22"/>
        </w:rPr>
        <w:t>3.</w:t>
        <w:tab/>
      </w:r>
      <w:r>
        <w:rPr>
          <w:sz w:val="22"/>
          <w:u w:val="single"/>
        </w:rPr>
        <w:t>OPINION</w:t>
      </w:r>
    </w:p>
    <w:p>
      <w:pPr>
        <w:pStyle w:val="Normal"/>
        <w:ind w:hanging="720" w:start="720" w:end="0"/>
        <w:jc w:val="both"/>
        <w:rPr>
          <w:sz w:val="22"/>
        </w:rPr>
      </w:pPr>
      <w:r>
        <w:rPr>
          <w:sz w:val="22"/>
        </w:rPr>
      </w:r>
    </w:p>
    <w:p>
      <w:pPr>
        <w:pStyle w:val="Normal"/>
        <w:ind w:hanging="720" w:start="720" w:end="0"/>
        <w:jc w:val="both"/>
        <w:rPr>
          <w:sz w:val="22"/>
        </w:rPr>
      </w:pPr>
      <w:r>
        <w:rPr>
          <w:sz w:val="22"/>
        </w:rPr>
        <w:tab/>
        <w:t>We are of the following opinion:-</w:t>
      </w:r>
    </w:p>
    <w:p>
      <w:pPr>
        <w:pStyle w:val="Normal"/>
        <w:jc w:val="both"/>
        <w:rPr>
          <w:sz w:val="22"/>
        </w:rPr>
      </w:pPr>
      <w:r>
        <w:rPr>
          <w:sz w:val="22"/>
        </w:rPr>
      </w:r>
    </w:p>
    <w:p>
      <w:pPr>
        <w:pStyle w:val="Normal"/>
        <w:numPr>
          <w:ilvl w:val="0"/>
          <w:numId w:val="2"/>
        </w:numPr>
        <w:tabs>
          <w:tab w:val="clear" w:pos="720"/>
          <w:tab w:val="left" w:pos="1418" w:leader="none"/>
        </w:tabs>
        <w:ind w:hanging="709" w:start="1418" w:end="0"/>
        <w:jc w:val="both"/>
        <w:rPr>
          <w:sz w:val="22"/>
        </w:rPr>
      </w:pPr>
      <w:r>
        <w:rPr>
          <w:sz w:val="22"/>
        </w:rPr>
        <w:t>The Counterparty is a corporation duly incorporated and validly existing  under the laws of the Republic of the Philippines.</w:t>
      </w:r>
    </w:p>
    <w:p>
      <w:pPr>
        <w:pStyle w:val="Normal"/>
        <w:numPr>
          <w:ilvl w:val="0"/>
          <w:numId w:val="0"/>
        </w:numPr>
        <w:ind w:hanging="0" w:start="709" w:end="0"/>
        <w:jc w:val="both"/>
        <w:rPr>
          <w:sz w:val="22"/>
        </w:rPr>
      </w:pPr>
      <w:r>
        <w:rPr>
          <w:sz w:val="22"/>
        </w:rPr>
      </w:r>
    </w:p>
    <w:p>
      <w:pPr>
        <w:pStyle w:val="Normal"/>
        <w:numPr>
          <w:ilvl w:val="0"/>
          <w:numId w:val="2"/>
        </w:numPr>
        <w:tabs>
          <w:tab w:val="clear" w:pos="720"/>
          <w:tab w:val="left" w:pos="1418" w:leader="none"/>
        </w:tabs>
        <w:ind w:hanging="709" w:start="1418" w:end="0"/>
        <w:jc w:val="both"/>
        <w:rPr>
          <w:sz w:val="22"/>
        </w:rPr>
      </w:pPr>
      <w:r>
        <w:rPr>
          <w:sz w:val="22"/>
        </w:rPr>
        <w:t>The Counterparty has full legal right, power and authority, and has taken all action necessary, to execute, deliver and perform its obligations under the Agreement and  the Counterparty has complied with, and the Agreement and the Counterparty’s execution, delivery and performance thereof do not violate or conflict with, the provisions of laws, rules, regulations, constituent instruments, resolutions, guidelines, policies, orders, judgments, decrees and rulings to which the Counterparty is subject.  The Agreement has been duly executed and delivered by the Counterparty.</w:t>
      </w:r>
    </w:p>
    <w:p>
      <w:pPr>
        <w:pStyle w:val="Normal"/>
        <w:numPr>
          <w:ilvl w:val="0"/>
          <w:numId w:val="0"/>
        </w:numPr>
        <w:ind w:hanging="0" w:start="0"/>
        <w:jc w:val="both"/>
        <w:rPr>
          <w:sz w:val="22"/>
        </w:rPr>
      </w:pPr>
      <w:r>
        <w:rPr>
          <w:sz w:val="22"/>
        </w:rPr>
      </w:r>
    </w:p>
    <w:p>
      <w:pPr>
        <w:pStyle w:val="Normal"/>
        <w:numPr>
          <w:ilvl w:val="0"/>
          <w:numId w:val="2"/>
        </w:numPr>
        <w:tabs>
          <w:tab w:val="clear" w:pos="720"/>
          <w:tab w:val="left" w:pos="1418" w:leader="none"/>
        </w:tabs>
        <w:ind w:hanging="709" w:start="1418" w:end="0"/>
        <w:jc w:val="both"/>
        <w:rPr>
          <w:sz w:val="22"/>
        </w:rPr>
      </w:pPr>
      <w:r>
        <w:rPr>
          <w:sz w:val="22"/>
        </w:rPr>
        <w:t>All governmental, public and regulatory approvals, consents, notices, authorizations, registrations, licenses or exemptions of, and filings that are required to have been obtained or made by the Counterparty with respect to the authorization, execution, delivery, and performance by, or the enforcement against or by, the Counterparty of the Agreement have been obtained and are in full force and effect, and all conditions of such approvals, consents, notices, authorization, registrations, licenses, exemptions, and filings have been fully complied with.</w:t>
      </w:r>
    </w:p>
    <w:p>
      <w:pPr>
        <w:pStyle w:val="Normal"/>
        <w:numPr>
          <w:ilvl w:val="0"/>
          <w:numId w:val="0"/>
        </w:numPr>
        <w:ind w:hanging="0" w:start="0"/>
        <w:jc w:val="both"/>
        <w:rPr>
          <w:sz w:val="22"/>
        </w:rPr>
      </w:pPr>
      <w:r>
        <w:rPr>
          <w:sz w:val="22"/>
        </w:rPr>
      </w:r>
    </w:p>
    <w:p>
      <w:pPr>
        <w:pStyle w:val="Normal"/>
        <w:numPr>
          <w:ilvl w:val="0"/>
          <w:numId w:val="2"/>
        </w:numPr>
        <w:tabs>
          <w:tab w:val="clear" w:pos="720"/>
          <w:tab w:val="left" w:pos="1418" w:leader="none"/>
        </w:tabs>
        <w:ind w:hanging="709" w:start="1418" w:end="0"/>
        <w:jc w:val="both"/>
        <w:rPr>
          <w:sz w:val="22"/>
        </w:rPr>
      </w:pPr>
      <w:r>
        <w:rPr>
          <w:sz w:val="22"/>
        </w:rPr>
        <w:t>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w:t>
      </w:r>
      <w:r>
        <w:rPr>
          <w:i/>
          <w:sz w:val="22"/>
        </w:rPr>
        <w:t xml:space="preserve">Obligations of any branch of the Counterparty are for all purposes obligations of the Counterparty enforceable against the Counterparty to the same extent set forth in the </w:t>
      </w:r>
      <w:r>
        <w:rPr>
          <w:sz w:val="22"/>
        </w:rPr>
        <w:t xml:space="preserve"> </w:t>
      </w:r>
      <w:r>
        <w:rPr>
          <w:i/>
          <w:sz w:val="22"/>
        </w:rPr>
        <w:t>preceding sentence.</w:t>
      </w:r>
      <w:r>
        <w:rPr>
          <w:sz w:val="22"/>
        </w:rPr>
        <w:t>]</w:t>
      </w:r>
      <w:r>
        <w:rPr>
          <w:rStyle w:val="FootnoteCharacters"/>
          <w:rStyle w:val="FootnoteReference"/>
          <w:sz w:val="22"/>
        </w:rPr>
        <w:footnoteReference w:id="2"/>
      </w:r>
      <w:r>
        <w:rPr>
          <w:sz w:val="22"/>
        </w:rPr>
        <w:t xml:space="preserve"> The enforceability of the Counterparty’s obligations is also subject to general rules of equity (regardless of whether such enforceability is considered in a proceeding in equity or at law).</w:t>
      </w:r>
    </w:p>
    <w:p>
      <w:pPr>
        <w:pStyle w:val="Normal"/>
        <w:numPr>
          <w:ilvl w:val="0"/>
          <w:numId w:val="0"/>
        </w:numPr>
        <w:ind w:hanging="0" w:start="0"/>
        <w:jc w:val="both"/>
        <w:rPr>
          <w:sz w:val="22"/>
        </w:rPr>
      </w:pPr>
      <w:r>
        <w:rPr>
          <w:sz w:val="22"/>
        </w:rPr>
      </w:r>
    </w:p>
    <w:p>
      <w:pPr>
        <w:pStyle w:val="Normal"/>
        <w:numPr>
          <w:ilvl w:val="0"/>
          <w:numId w:val="2"/>
        </w:numPr>
        <w:tabs>
          <w:tab w:val="clear" w:pos="720"/>
          <w:tab w:val="left" w:pos="1418" w:leader="none"/>
        </w:tabs>
        <w:ind w:hanging="709" w:start="1418" w:end="0"/>
        <w:jc w:val="both"/>
        <w:rPr>
          <w:sz w:val="22"/>
        </w:rPr>
      </w:pPr>
      <w:r>
        <w:rPr>
          <w:sz w:val="22"/>
        </w:rPr>
        <w:t>The choice of law provision set forth in the Agreement is valid and binding under the laws of the Republic of the Philippines and any political subdivision thereof and would be given effect by the courts of the Republic of the Philippines and any political subdivision thereof.</w:t>
      </w:r>
    </w:p>
    <w:p>
      <w:pPr>
        <w:pStyle w:val="Normal"/>
        <w:numPr>
          <w:ilvl w:val="0"/>
          <w:numId w:val="0"/>
        </w:numPr>
        <w:ind w:hanging="0" w:start="0"/>
        <w:jc w:val="both"/>
        <w:rPr>
          <w:sz w:val="22"/>
        </w:rPr>
      </w:pPr>
      <w:r>
        <w:rPr>
          <w:sz w:val="22"/>
        </w:rPr>
      </w:r>
    </w:p>
    <w:p>
      <w:pPr>
        <w:pStyle w:val="Normal"/>
        <w:numPr>
          <w:ilvl w:val="0"/>
          <w:numId w:val="2"/>
        </w:numPr>
        <w:tabs>
          <w:tab w:val="clear" w:pos="720"/>
          <w:tab w:val="left" w:pos="1418" w:leader="none"/>
        </w:tabs>
        <w:ind w:hanging="709" w:start="1418" w:end="0"/>
        <w:jc w:val="both"/>
        <w:rPr>
          <w:sz w:val="22"/>
        </w:rPr>
      </w:pPr>
      <w:r>
        <w:rPr>
          <w:sz w:val="22"/>
        </w:rPr>
        <w:t>The Counterparty is not entitled to claim immunity for itself or its property or assets from service of process, jurisdiction, suit, judgment execution, attachment (whether before judgment, in aid of execution, or otherwise), nor may there be attributed to it or its property or assets any such immunity (whether or not claimed).</w:t>
      </w:r>
    </w:p>
    <w:p>
      <w:pPr>
        <w:pStyle w:val="Normal"/>
        <w:numPr>
          <w:ilvl w:val="0"/>
          <w:numId w:val="0"/>
        </w:numPr>
        <w:ind w:hanging="0" w:start="0"/>
        <w:jc w:val="both"/>
        <w:rPr>
          <w:sz w:val="22"/>
        </w:rPr>
      </w:pPr>
      <w:r>
        <w:rPr>
          <w:sz w:val="22"/>
        </w:rPr>
      </w:r>
    </w:p>
    <w:p>
      <w:pPr>
        <w:pStyle w:val="Normal"/>
        <w:numPr>
          <w:ilvl w:val="0"/>
          <w:numId w:val="2"/>
        </w:numPr>
        <w:tabs>
          <w:tab w:val="clear" w:pos="720"/>
          <w:tab w:val="left" w:pos="1418" w:leader="none"/>
        </w:tabs>
        <w:ind w:hanging="709" w:start="1418" w:end="0"/>
        <w:jc w:val="both"/>
        <w:rPr>
          <w:sz w:val="22"/>
        </w:rPr>
      </w:pPr>
      <w:r>
        <w:rPr>
          <w:sz w:val="22"/>
        </w:rPr>
        <w:t>The payment obligations of the Counterparty under the Agreement rank at least equally with its unsecured and unsubordinated internal and external indebtedness.</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Very truly yours,</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sectPr>
      <w:headerReference w:type="default" r:id="rId2"/>
      <w:headerReference w:type="first" r:id="rId3"/>
      <w:footerReference w:type="default" r:id="rId4"/>
      <w:footerReference w:type="first" r:id="rId5"/>
      <w:footnotePr>
        <w:numFmt w:val="decimal"/>
      </w:footnotePr>
      <w:type w:val="nextPage"/>
      <w:pgSz w:w="11906" w:h="16838"/>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S:\Legal\ISDA FORMS\petron-isda (ext opn) (6Sept99)</w:t>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S:\Legal\ISDA FORMS\petron-isda (ext opn) (6Sept99)</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numPr>
          <w:ilvl w:val="0"/>
          <w:numId w:val="0"/>
        </w:numPr>
        <w:ind w:hanging="0" w:start="0"/>
        <w:rPr/>
      </w:pPr>
      <w:r>
        <w:rPr>
          <w:rStyle w:val="FootnoteCharacters"/>
        </w:rPr>
        <w:footnoteRef/>
      </w:r>
      <w:r>
        <w:rPr/>
        <w:t xml:space="preserve"> </w:t>
      </w:r>
      <w:r>
        <w:rPr>
          <w:sz w:val="16"/>
        </w:rPr>
        <w:t>Add if multibranch agreement.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05.15pt;mso-position-horizontal:center;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
        </w:tabs>
        <w:ind w:start="1069"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outlineLvl w:val="0"/>
    </w:pPr>
    <w:rPr>
      <w:b/>
      <w:u w:val="single"/>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FootnoteText">
    <w:name w:val="footnote text"/>
    <w:basedOn w:val="Normal"/>
    <w:pPr/>
    <w:rPr/>
  </w:style>
  <w:style w:type="paragraph" w:styleId="FrameContents">
    <w:name w:val="Frame Contents"/>
    <w:basedOn w:val="Normal"/>
    <w:qFormat/>
    <w:pPr/>
    <w:rPr/>
  </w:style>
  <w:style w:type="paragraph" w:styleId="HeaderLeft">
    <w:name w:val="Header Left"/>
    <w:basedOn w:val="Header"/>
    <w:qFormat/>
    <w:pPr>
      <w:suppressLineNumber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1999-09-07T00:10:00Z</dcterms:created>
  <dc:creator>ENRON</dc:creator>
  <dc:description/>
  <dc:language>en-CA</dc:language>
  <cp:lastModifiedBy>Enron Capital &amp; Trade Resources</cp:lastModifiedBy>
  <cp:lastPrinted>1999-08-30T11:26:00Z</cp:lastPrinted>
  <dcterms:modified xsi:type="dcterms:W3CDTF">1999-09-07T00:52:00Z</dcterms:modified>
  <cp:revision>3</cp:revision>
  <dc:subject/>
  <dc:title>						Precedent - Swap Counsel’s Opinion</dc:title>
</cp:coreProperties>
</file>