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PARAGRAPH 11</w:t>
      </w:r>
    </w:p>
    <w:p>
      <w:pPr>
        <w:pStyle w:val="Normal"/>
        <w:widowControl/>
        <w:jc w:val="center"/>
        <w:rPr>
          <w:rFonts w:ascii="Times New Roman" w:hAnsi="Times New Roman" w:cs="Times New Roman"/>
          <w:b/>
          <w:sz w:val="22"/>
        </w:rPr>
      </w:pPr>
      <w:r>
        <w:rPr>
          <w:rFonts w:cs="Times New Roman" w:ascii="Times New Roman" w:hAnsi="Times New Roman"/>
          <w:b/>
          <w:sz w:val="22"/>
        </w:rPr>
        <w:t>to the</w:t>
      </w:r>
    </w:p>
    <w:p>
      <w:pPr>
        <w:pStyle w:val="Normal"/>
        <w:widowControl/>
        <w:jc w:val="center"/>
        <w:rPr>
          <w:rFonts w:ascii="Times New Roman" w:hAnsi="Times New Roman" w:cs="Times New Roman"/>
          <w:b/>
          <w:sz w:val="22"/>
        </w:rPr>
      </w:pPr>
      <w:r>
        <w:rPr>
          <w:rFonts w:cs="Times New Roman" w:ascii="Times New Roman" w:hAnsi="Times New Roman"/>
          <w:b/>
          <w:sz w:val="22"/>
        </w:rPr>
        <w:t>CREDIT SUPPORT ANNEX</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to the Schedule to the ISDA Master Agreement</w:t>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Expanded"/>
        <w:widowControl/>
        <w:spacing w:before="0" w:after="0"/>
        <w:rPr>
          <w:rFonts w:ascii="Times New Roman" w:hAnsi="Times New Roman" w:cs="Times New Roman"/>
          <w:caps w:val="false"/>
          <w:smallCaps w:val="false"/>
          <w:spacing w:val="0"/>
        </w:rPr>
      </w:pPr>
      <w:r>
        <w:rPr>
          <w:rFonts w:cs="Times New Roman" w:ascii="Times New Roman" w:hAnsi="Times New Roman"/>
          <w:caps w:val="false"/>
          <w:smallCaps w:val="false"/>
          <w:spacing w:val="0"/>
        </w:rPr>
        <w:t>dated as of _________________, 1999</w:t>
      </w:r>
    </w:p>
    <w:p>
      <w:pPr>
        <w:pStyle w:val="Normal"/>
        <w:widowControl/>
        <w:jc w:val="center"/>
        <w:rPr>
          <w:rFonts w:ascii="Times New Roman" w:hAnsi="Times New Roman" w:cs="Times New Roman"/>
          <w:b/>
          <w:caps/>
          <w:spacing w:val="0"/>
          <w:sz w:val="22"/>
        </w:rPr>
      </w:pPr>
      <w:r>
        <w:rPr>
          <w:rFonts w:cs="Times New Roman" w:ascii="Times New Roman" w:hAnsi="Times New Roman"/>
          <w:b/>
          <w:caps/>
          <w:spacing w:val="0"/>
          <w:sz w:val="22"/>
        </w:rPr>
      </w:r>
    </w:p>
    <w:p>
      <w:pPr>
        <w:pStyle w:val="Normal"/>
        <w:widowControl/>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between</w:t>
      </w:r>
    </w:p>
    <w:tbl>
      <w:tblPr>
        <w:tblW w:w="10207" w:type="dxa"/>
        <w:jc w:val="start"/>
        <w:tblInd w:w="-34" w:type="dxa"/>
        <w:tblLayout w:type="fixed"/>
        <w:tblCellMar>
          <w:top w:w="0" w:type="dxa"/>
          <w:start w:w="108" w:type="dxa"/>
          <w:bottom w:w="0" w:type="dxa"/>
          <w:end w:w="108" w:type="dxa"/>
        </w:tblCellMar>
      </w:tblPr>
      <w:tblGrid>
        <w:gridCol w:w="5104"/>
        <w:gridCol w:w="5103"/>
      </w:tblGrid>
      <w:tr>
        <w:trPr/>
        <w:tc>
          <w:tcPr>
            <w:tcW w:w="5104" w:type="dxa"/>
            <w:tcBorders/>
          </w:tcPr>
          <w:p>
            <w:pPr>
              <w:pStyle w:val="Normal"/>
              <w:widowControl/>
              <w:tabs>
                <w:tab w:val="clear" w:pos="720"/>
                <w:tab w:val="center" w:pos="5760" w:leader="none"/>
              </w:tabs>
              <w:spacing w:before="240" w:after="0"/>
              <w:jc w:val="center"/>
              <w:rPr>
                <w:rFonts w:ascii="Times New Roman" w:hAnsi="Times New Roman" w:cs="Times New Roman"/>
                <w:b/>
                <w:sz w:val="22"/>
              </w:rPr>
            </w:pPr>
            <w:r>
              <w:rPr>
                <w:rFonts w:cs="Times New Roman" w:ascii="Times New Roman" w:hAnsi="Times New Roman"/>
                <w:b/>
                <w:sz w:val="22"/>
              </w:rPr>
              <w:t>ENRON CAPITAL &amp; TRADE RESOURCES INTERNATIONAL CORP., a corporation organized under the laws of the State of Delaware (“Party A”), and</w:t>
            </w:r>
          </w:p>
        </w:tc>
        <w:tc>
          <w:tcPr>
            <w:tcW w:w="5103" w:type="dxa"/>
            <w:tcBorders/>
          </w:tcPr>
          <w:p>
            <w:pPr>
              <w:pStyle w:val="Normal"/>
              <w:widowControl/>
              <w:tabs>
                <w:tab w:val="clear" w:pos="720"/>
                <w:tab w:val="center" w:pos="5760" w:leader="none"/>
              </w:tabs>
              <w:spacing w:before="240" w:after="0"/>
              <w:ind w:start="175" w:end="0"/>
              <w:jc w:val="center"/>
              <w:rPr>
                <w:rFonts w:ascii="Times New Roman" w:hAnsi="Times New Roman" w:cs="Times New Roman"/>
                <w:b/>
                <w:sz w:val="22"/>
              </w:rPr>
            </w:pPr>
            <w:r>
              <w:rPr>
                <w:rFonts w:cs="Times New Roman" w:ascii="Times New Roman" w:hAnsi="Times New Roman"/>
                <w:b/>
                <w:sz w:val="22"/>
              </w:rPr>
              <w:t>PETRON CORPORATION, a corporation organized under the laws of the Republic of the Philippines (“Party B”)</w:t>
            </w:r>
          </w:p>
        </w:tc>
      </w:tr>
    </w:tbl>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b/>
          <w:sz w:val="22"/>
        </w:rPr>
        <w:t>Paragraph 11.  Elections and Variables.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5"/>
        </w:numPr>
        <w:jc w:val="both"/>
        <w:rPr>
          <w:rFonts w:ascii="Times New Roman" w:hAnsi="Times New Roman" w:cs="Times New Roman"/>
          <w:b/>
          <w:sz w:val="22"/>
        </w:rPr>
      </w:pPr>
      <w:r>
        <w:rPr>
          <w:rFonts w:cs="Times New Roman" w:ascii="Times New Roman" w:hAnsi="Times New Roman"/>
          <w:b/>
          <w:sz w:val="22"/>
        </w:rPr>
        <w:t>Base Currency and Eligible Currency.</w:t>
      </w:r>
    </w:p>
    <w:p>
      <w:pPr>
        <w:pStyle w:val="Normal"/>
        <w:widowControl/>
        <w:jc w:val="both"/>
        <w:rPr>
          <w:rFonts w:ascii="Times New Roman" w:hAnsi="Times New Roman" w:cs="Times New Roman"/>
          <w:b/>
          <w:sz w:val="22"/>
        </w:rPr>
      </w:pPr>
      <w:r>
        <w:rPr>
          <w:rFonts w:cs="Times New Roman" w:ascii="Times New Roman" w:hAnsi="Times New Roman"/>
          <w:b/>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Base Currency”</w:t>
      </w:r>
      <w:r>
        <w:rPr>
          <w:rFonts w:cs="Times New Roman" w:ascii="Times New Roman" w:hAnsi="Times New Roman"/>
          <w:sz w:val="22"/>
        </w:rPr>
        <w:t xml:space="preserve"> means U.S. Dollars.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2"/>
        </w:numPr>
        <w:jc w:val="both"/>
        <w:rPr>
          <w:rFonts w:ascii="Times New Roman" w:hAnsi="Times New Roman" w:cs="Times New Roman"/>
          <w:sz w:val="22"/>
        </w:rPr>
      </w:pPr>
      <w:r>
        <w:rPr>
          <w:rFonts w:cs="Times New Roman" w:ascii="Times New Roman" w:hAnsi="Times New Roman"/>
          <w:b/>
          <w:sz w:val="22"/>
        </w:rPr>
        <w:t>“</w:t>
      </w:r>
      <w:r>
        <w:rPr>
          <w:rFonts w:cs="Times New Roman" w:ascii="Times New Roman" w:hAnsi="Times New Roman"/>
          <w:b/>
          <w:sz w:val="22"/>
        </w:rPr>
        <w:t>Eligible Currency”</w:t>
      </w:r>
      <w:r>
        <w:rPr>
          <w:rFonts w:cs="Times New Roman" w:ascii="Times New Roman" w:hAnsi="Times New Roman"/>
          <w:sz w:val="22"/>
        </w:rPr>
        <w:t xml:space="preserve"> means the Base Currency.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426" w:start="426" w:end="0"/>
        <w:jc w:val="both"/>
        <w:rPr/>
      </w:pPr>
      <w:r>
        <w:rPr>
          <w:rFonts w:cs="Times New Roman" w:ascii="Times New Roman" w:hAnsi="Times New Roman"/>
          <w:sz w:val="22"/>
        </w:rPr>
        <w:t>(b)</w:t>
        <w:tab/>
      </w:r>
      <w:r>
        <w:rPr>
          <w:rFonts w:cs="Times New Roman" w:ascii="Times New Roman" w:hAnsi="Times New Roman"/>
          <w:b/>
          <w:sz w:val="22"/>
        </w:rPr>
        <w:t>Credit Support Obligations.</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 xml:space="preserve">(i)  </w:t>
      </w:r>
      <w:r>
        <w:rPr>
          <w:rFonts w:cs="Times New Roman" w:ascii="Times New Roman" w:hAnsi="Times New Roman"/>
          <w:b/>
          <w:sz w:val="22"/>
        </w:rPr>
        <w:t>Delivery Amount, Return Amount, and Credit Support Amount.</w:t>
      </w:r>
    </w:p>
    <w:p>
      <w:pPr>
        <w:pStyle w:val="Normal"/>
        <w:widowControl/>
        <w:ind w:hanging="126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(A) </w:t>
      </w:r>
      <w:r>
        <w:rPr>
          <w:rFonts w:cs="Times New Roman" w:ascii="Times New Roman" w:hAnsi="Times New Roman"/>
          <w:b/>
          <w:sz w:val="22"/>
        </w:rPr>
        <w:t>“Delivery Amount”</w:t>
      </w:r>
      <w:r>
        <w:rPr>
          <w:rFonts w:cs="Times New Roman" w:ascii="Times New Roman" w:hAnsi="Times New Roman"/>
          <w:sz w:val="22"/>
        </w:rPr>
        <w:t xml:space="preserve"> has the meaning specified in Paragraph 2(a).</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“Return Amount”</w:t>
      </w:r>
      <w:r>
        <w:rPr>
          <w:rFonts w:cs="Times New Roman" w:ascii="Times New Roman" w:hAnsi="Times New Roman"/>
          <w:sz w:val="22"/>
        </w:rPr>
        <w:t xml:space="preserve"> has the meaning specified in Paragraph 2(b).</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080" w:leader="none"/>
        </w:tabs>
        <w:ind w:start="720" w:end="0"/>
        <w:jc w:val="both"/>
        <w:rPr/>
      </w:pPr>
      <w:r>
        <w:rPr>
          <w:rFonts w:cs="Times New Roman" w:ascii="Times New Roman" w:hAnsi="Times New Roman"/>
          <w:sz w:val="22"/>
        </w:rPr>
        <w:t xml:space="preserve">(C) </w:t>
      </w:r>
      <w:r>
        <w:rPr>
          <w:rFonts w:cs="Times New Roman" w:ascii="Times New Roman" w:hAnsi="Times New Roman"/>
          <w:b/>
          <w:sz w:val="22"/>
        </w:rPr>
        <w:t>“Credit Support Amount”</w:t>
      </w:r>
      <w:r>
        <w:rPr>
          <w:rFonts w:cs="Times New Roman" w:ascii="Times New Roman" w:hAnsi="Times New Roman"/>
          <w:sz w:val="22"/>
        </w:rPr>
        <w:t xml:space="preserve"> has the meaning specified in Paragraph 10.</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rFonts w:ascii="Times New Roman" w:hAnsi="Times New Roman" w:cs="Times New Roman"/>
          <w:sz w:val="22"/>
        </w:rPr>
      </w:pPr>
      <w:r>
        <w:rPr>
          <w:rFonts w:cs="Times New Roman" w:ascii="Times New Roman" w:hAnsi="Times New Roman"/>
          <w:sz w:val="22"/>
        </w:rPr>
        <w:t xml:space="preserve">(ii) </w:t>
      </w:r>
      <w:r>
        <w:rPr>
          <w:rFonts w:cs="Times New Roman" w:ascii="Times New Roman" w:hAnsi="Times New Roman"/>
          <w:b/>
          <w:sz w:val="22"/>
        </w:rPr>
        <w:t>Eligible Credit Support and Other Eligible Credit Support</w:t>
      </w:r>
    </w:p>
    <w:p>
      <w:pPr>
        <w:pStyle w:val="Normal"/>
        <w:widowControl/>
        <w:tabs>
          <w:tab w:val="clear" w:pos="720"/>
          <w:tab w:val="left" w:pos="1134" w:leader="none"/>
        </w:tabs>
        <w:ind w:start="720" w:end="0"/>
        <w:jc w:val="both"/>
        <w:rPr/>
      </w:pPr>
      <w:r>
        <w:rPr>
          <w:rFonts w:cs="Times New Roman" w:ascii="Times New Roman" w:hAnsi="Times New Roman"/>
          <w:sz w:val="22"/>
        </w:rPr>
        <w:br/>
        <w:t xml:space="preserve">(A) </w:t>
      </w:r>
      <w:r>
        <w:rPr>
          <w:rFonts w:cs="Times New Roman" w:ascii="Times New Roman" w:hAnsi="Times New Roman"/>
          <w:b/>
          <w:sz w:val="22"/>
        </w:rPr>
        <w:t>Eligible Credit Support.</w:t>
      </w:r>
      <w:r>
        <w:rPr>
          <w:rFonts w:cs="Times New Roman" w:ascii="Times New Roman" w:hAnsi="Times New Roman"/>
          <w:sz w:val="22"/>
        </w:rPr>
        <w:t xml:space="preserve">  The following items will qualify as</w:t>
      </w:r>
      <w:r>
        <w:rPr>
          <w:rFonts w:cs="Times New Roman" w:ascii="Times New Roman" w:hAnsi="Times New Roman"/>
          <w:b/>
          <w:sz w:val="22"/>
        </w:rPr>
        <w:t xml:space="preserve">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7755" w:type="dxa"/>
        <w:jc w:val="start"/>
        <w:tblInd w:w="1548" w:type="dxa"/>
        <w:tblLayout w:type="fixed"/>
        <w:tblCellMar>
          <w:top w:w="0" w:type="dxa"/>
          <w:start w:w="108" w:type="dxa"/>
          <w:bottom w:w="0" w:type="dxa"/>
          <w:end w:w="108" w:type="dxa"/>
        </w:tblCellMar>
      </w:tblPr>
      <w:tblGrid>
        <w:gridCol w:w="630"/>
        <w:gridCol w:w="2880"/>
        <w:gridCol w:w="1440"/>
        <w:gridCol w:w="1440"/>
        <w:gridCol w:w="1365"/>
      </w:tblGrid>
      <w:tr>
        <w:trPr/>
        <w:tc>
          <w:tcPr>
            <w:tcW w:w="63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288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tc>
        <w:tc>
          <w:tcPr>
            <w:tcW w:w="1365"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(1)</w:t>
            </w:r>
          </w:p>
        </w:tc>
        <w:tc>
          <w:tcPr>
            <w:tcW w:w="2880" w:type="dxa"/>
            <w:tcBorders/>
          </w:tcPr>
          <w:p>
            <w:pPr>
              <w:pStyle w:val="Normal"/>
              <w:widowControl/>
              <w:rPr>
                <w:rFonts w:ascii="Times New Roman" w:hAnsi="Times New Roman" w:cs="Times New Roman"/>
                <w:color w:val="000000"/>
                <w:sz w:val="22"/>
              </w:rPr>
            </w:pPr>
            <w:r>
              <w:rPr>
                <w:rFonts w:cs="Times New Roman" w:ascii="Times New Roman" w:hAnsi="Times New Roman"/>
                <w:color w:val="000000"/>
                <w:sz w:val="22"/>
              </w:rPr>
              <w:t>Cash in an Eligible Currency</w:t>
            </w:r>
          </w:p>
          <w:p>
            <w:pPr>
              <w:pStyle w:val="Normal"/>
              <w:widowControl/>
              <w:rPr>
                <w:rFonts w:ascii="Times New Roman" w:hAnsi="Times New Roman" w:cs="Times New Roman"/>
                <w:color w:val="000000"/>
                <w:sz w:val="22"/>
              </w:rPr>
            </w:pPr>
            <w:r>
              <w:rPr>
                <w:rFonts w:cs="Times New Roman" w:ascii="Times New Roman" w:hAnsi="Times New Roman"/>
                <w:color w:val="000000"/>
                <w:sz w:val="22"/>
              </w:rPr>
            </w:r>
          </w:p>
        </w:tc>
        <w:tc>
          <w:tcPr>
            <w:tcW w:w="1440" w:type="dxa"/>
            <w:tcBorders/>
          </w:tcPr>
          <w:p>
            <w:pPr>
              <w:pStyle w:val="Normal"/>
              <w:widowControl/>
              <w:jc w:val="center"/>
              <w:rPr>
                <w:rFonts w:ascii="Times New Roman" w:hAnsi="Times New Roman" w:cs="Times New Roman"/>
                <w:color w:val="000000"/>
                <w:sz w:val="22"/>
              </w:rPr>
            </w:pPr>
            <w:r>
              <w:rPr>
                <w:rFonts w:cs="Times New Roman" w:ascii="Times New Roman" w:hAnsi="Times New Roman"/>
                <w:color w:val="000000"/>
                <w:sz w:val="22"/>
              </w:rPr>
              <w:t>[X]</w:t>
            </w:r>
          </w:p>
        </w:tc>
        <w:tc>
          <w:tcPr>
            <w:tcW w:w="1440" w:type="dxa"/>
            <w:tcBorders/>
          </w:tcPr>
          <w:p>
            <w:pPr>
              <w:pStyle w:val="Normal"/>
              <w:widowControl/>
              <w:jc w:val="center"/>
              <w:rPr>
                <w:rFonts w:ascii="Times New Roman" w:hAnsi="Times New Roman" w:cs="Times New Roman"/>
                <w:color w:val="000000"/>
                <w:sz w:val="22"/>
              </w:rPr>
            </w:pPr>
            <w:r>
              <w:rPr>
                <w:rFonts w:cs="Times New Roman" w:ascii="Times New Roman" w:hAnsi="Times New Roman"/>
                <w:color w:val="000000"/>
                <w:sz w:val="22"/>
              </w:rPr>
              <w:t>[X]</w:t>
            </w:r>
          </w:p>
        </w:tc>
        <w:tc>
          <w:tcPr>
            <w:tcW w:w="1365" w:type="dxa"/>
            <w:tcBorders/>
          </w:tcPr>
          <w:p>
            <w:pPr>
              <w:pStyle w:val="Normal"/>
              <w:widowControl/>
              <w:jc w:val="center"/>
              <w:rPr>
                <w:rFonts w:ascii="Times New Roman" w:hAnsi="Times New Roman" w:cs="Times New Roman"/>
                <w:color w:val="000000"/>
                <w:sz w:val="22"/>
              </w:rPr>
            </w:pPr>
            <w:r>
              <w:rPr>
                <w:rFonts w:cs="Times New Roman" w:ascii="Times New Roman" w:hAnsi="Times New Roman"/>
                <w:color w:val="000000"/>
                <w:sz w:val="22"/>
              </w:rPr>
              <w:t>100%</w:t>
            </w:r>
          </w:p>
        </w:tc>
      </w:tr>
      <w:tr>
        <w:trPr/>
        <w:tc>
          <w:tcPr>
            <w:tcW w:w="630" w:type="dxa"/>
            <w:tcBorders/>
          </w:tcPr>
          <w:p>
            <w:pPr>
              <w:pStyle w:val="Normal"/>
              <w:widowControl/>
              <w:jc w:val="both"/>
              <w:rPr>
                <w:rFonts w:ascii="Times New Roman" w:hAnsi="Times New Roman" w:cs="Times New Roman"/>
                <w:sz w:val="22"/>
              </w:rPr>
            </w:pPr>
            <w:r>
              <w:rPr>
                <w:rFonts w:cs="Times New Roman" w:ascii="Times New Roman" w:hAnsi="Times New Roman"/>
                <w:sz w:val="22"/>
              </w:rPr>
              <w:t>(2)</w:t>
            </w:r>
          </w:p>
        </w:tc>
        <w:tc>
          <w:tcPr>
            <w:tcW w:w="2880" w:type="dxa"/>
            <w:tcBorders/>
          </w:tcPr>
          <w:p>
            <w:pPr>
              <w:pStyle w:val="Normal"/>
              <w:widowControl/>
              <w:rPr>
                <w:rFonts w:ascii="Times New Roman" w:hAnsi="Times New Roman" w:cs="Times New Roman"/>
                <w:sz w:val="22"/>
              </w:rPr>
            </w:pPr>
            <w:r>
              <w:rPr>
                <w:rFonts w:cs="Times New Roman" w:ascii="Times New Roman" w:hAnsi="Times New Roman"/>
                <w:sz w:val="22"/>
              </w:rPr>
              <w:t>Other:</w:t>
              <w:tab/>
              <w:t>None</w:t>
            </w:r>
          </w:p>
          <w:p>
            <w:pPr>
              <w:pStyle w:val="Normal"/>
              <w:widowControl/>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c>
          <w:tcPr>
            <w:tcW w:w="1365" w:type="dxa"/>
            <w:tcBorders/>
          </w:tcPr>
          <w:p>
            <w:pPr>
              <w:pStyle w:val="Normal"/>
              <w:widowControl/>
              <w:snapToGrid w:val="false"/>
              <w:jc w:val="center"/>
              <w:rPr>
                <w:rFonts w:ascii="Times New Roman" w:hAnsi="Times New Roman" w:cs="Times New Roman"/>
                <w:sz w:val="22"/>
              </w:rPr>
            </w:pPr>
            <w:r>
              <w:rPr>
                <w:rFonts w:cs="Times New Roman" w:ascii="Times New Roman" w:hAnsi="Times New Roman"/>
                <w:sz w:val="22"/>
              </w:rPr>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1134" w:leader="none"/>
        </w:tabs>
        <w:ind w:start="720" w:end="0"/>
        <w:jc w:val="both"/>
        <w:rPr/>
      </w:pPr>
      <w:r>
        <w:rPr>
          <w:rFonts w:cs="Times New Roman" w:ascii="Times New Roman" w:hAnsi="Times New Roman"/>
          <w:sz w:val="22"/>
        </w:rPr>
        <w:t xml:space="preserve">(B) </w:t>
      </w:r>
      <w:r>
        <w:rPr>
          <w:rFonts w:cs="Times New Roman" w:ascii="Times New Roman" w:hAnsi="Times New Roman"/>
          <w:b/>
          <w:sz w:val="22"/>
        </w:rPr>
        <w:t>Other Eligible Credit Support.</w:t>
      </w:r>
      <w:r>
        <w:rPr>
          <w:rFonts w:cs="Times New Roman" w:ascii="Times New Roman" w:hAnsi="Times New Roman"/>
          <w:sz w:val="22"/>
        </w:rPr>
        <w:t xml:space="preserve">  The following item will qualify as </w:t>
      </w:r>
      <w:r>
        <w:rPr>
          <w:rFonts w:cs="Times New Roman" w:ascii="Times New Roman" w:hAnsi="Times New Roman"/>
          <w:b/>
          <w:sz w:val="22"/>
        </w:rPr>
        <w:t>“Other Eligible Credit Support”</w:t>
      </w:r>
      <w:r>
        <w:rPr>
          <w:rFonts w:cs="Times New Roman" w:ascii="Times New Roman" w:hAnsi="Times New Roman"/>
          <w:sz w:val="22"/>
        </w:rPr>
        <w:t xml:space="preserve"> for the party specified:</w:t>
      </w:r>
    </w:p>
    <w:p>
      <w:pPr>
        <w:pStyle w:val="Normal"/>
        <w:widowControl/>
        <w:ind w:start="1440" w:end="0"/>
        <w:jc w:val="both"/>
        <w:rPr>
          <w:rFonts w:ascii="Times New Roman" w:hAnsi="Times New Roman" w:cs="Times New Roman"/>
          <w:sz w:val="22"/>
        </w:rPr>
      </w:pPr>
      <w:r>
        <w:rPr>
          <w:rFonts w:cs="Times New Roman" w:ascii="Times New Roman" w:hAnsi="Times New Roman"/>
          <w:sz w:val="22"/>
        </w:rPr>
      </w:r>
    </w:p>
    <w:tbl>
      <w:tblPr>
        <w:tblW w:w="8641" w:type="dxa"/>
        <w:jc w:val="start"/>
        <w:tblInd w:w="918" w:type="dxa"/>
        <w:tblLayout w:type="fixed"/>
        <w:tblCellMar>
          <w:top w:w="0" w:type="dxa"/>
          <w:start w:w="108" w:type="dxa"/>
          <w:bottom w:w="0" w:type="dxa"/>
          <w:end w:w="108" w:type="dxa"/>
        </w:tblCellMar>
      </w:tblPr>
      <w:tblGrid>
        <w:gridCol w:w="1800"/>
        <w:gridCol w:w="1440"/>
        <w:gridCol w:w="1644"/>
        <w:gridCol w:w="3757"/>
      </w:tblGrid>
      <w:tr>
        <w:trPr/>
        <w:tc>
          <w:tcPr>
            <w:tcW w:w="1800" w:type="dxa"/>
            <w:tcBorders/>
          </w:tcPr>
          <w:p>
            <w:pPr>
              <w:pStyle w:val="Normal"/>
              <w:widowControl/>
              <w:snapToGrid w:val="false"/>
              <w:jc w:val="both"/>
              <w:rPr>
                <w:rFonts w:ascii="Times New Roman" w:hAnsi="Times New Roman" w:cs="Times New Roman"/>
                <w:sz w:val="22"/>
              </w:rPr>
            </w:pPr>
            <w:r>
              <w:rPr>
                <w:rFonts w:cs="Times New Roman" w:ascii="Times New Roman" w:hAnsi="Times New Roman"/>
                <w:sz w:val="22"/>
              </w:rPr>
            </w:r>
          </w:p>
        </w:tc>
        <w:tc>
          <w:tcPr>
            <w:tcW w:w="1440"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A</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1644" w:type="dxa"/>
            <w:tcBorders/>
          </w:tcPr>
          <w:p>
            <w:pPr>
              <w:pStyle w:val="Normal"/>
              <w:widowControl/>
              <w:snapToGrid w:val="false"/>
              <w:jc w:val="center"/>
              <w:rPr>
                <w:rFonts w:ascii="Times New Roman" w:hAnsi="Times New Roman" w:cs="Times New Roman"/>
                <w:b/>
                <w:sz w:val="22"/>
              </w:rPr>
            </w:pPr>
            <w:r>
              <w:rPr>
                <w:rFonts w:cs="Times New Roman" w:ascii="Times New Roman" w:hAnsi="Times New Roman"/>
                <w:b/>
                <w:sz w:val="22"/>
              </w:rPr>
            </w:r>
          </w:p>
          <w:p>
            <w:pPr>
              <w:pStyle w:val="Normal"/>
              <w:widowControl/>
              <w:jc w:val="center"/>
              <w:rPr>
                <w:rFonts w:ascii="Times New Roman" w:hAnsi="Times New Roman" w:cs="Times New Roman"/>
                <w:b/>
                <w:sz w:val="22"/>
              </w:rPr>
            </w:pPr>
            <w:r>
              <w:rPr>
                <w:rFonts w:cs="Times New Roman" w:ascii="Times New Roman" w:hAnsi="Times New Roman"/>
                <w:b/>
                <w:sz w:val="22"/>
              </w:rPr>
              <w:t>Party B</w:t>
            </w:r>
          </w:p>
          <w:p>
            <w:pPr>
              <w:pStyle w:val="Normal"/>
              <w:widowControl/>
              <w:jc w:val="center"/>
              <w:rPr>
                <w:rFonts w:ascii="Times New Roman" w:hAnsi="Times New Roman" w:cs="Times New Roman"/>
                <w:b/>
                <w:sz w:val="22"/>
              </w:rPr>
            </w:pPr>
            <w:r>
              <w:rPr>
                <w:rFonts w:cs="Times New Roman" w:ascii="Times New Roman" w:hAnsi="Times New Roman"/>
                <w:b/>
                <w:sz w:val="22"/>
              </w:rPr>
            </w:r>
          </w:p>
        </w:tc>
        <w:tc>
          <w:tcPr>
            <w:tcW w:w="3757" w:type="dxa"/>
            <w:tcBorders/>
          </w:tcPr>
          <w:p>
            <w:pPr>
              <w:pStyle w:val="Normal"/>
              <w:widowControl/>
              <w:jc w:val="center"/>
              <w:rPr>
                <w:rFonts w:ascii="Times New Roman" w:hAnsi="Times New Roman" w:cs="Times New Roman"/>
                <w:b/>
                <w:sz w:val="22"/>
              </w:rPr>
            </w:pPr>
            <w:r>
              <w:rPr>
                <w:rFonts w:cs="Times New Roman" w:ascii="Times New Roman" w:hAnsi="Times New Roman"/>
                <w:b/>
                <w:sz w:val="22"/>
              </w:rPr>
              <w:t>Valuation</w:t>
            </w:r>
          </w:p>
          <w:p>
            <w:pPr>
              <w:pStyle w:val="Normal"/>
              <w:widowControl/>
              <w:jc w:val="center"/>
              <w:rPr>
                <w:rFonts w:ascii="Times New Roman" w:hAnsi="Times New Roman" w:cs="Times New Roman"/>
                <w:b/>
                <w:sz w:val="22"/>
              </w:rPr>
            </w:pPr>
            <w:r>
              <w:rPr>
                <w:rFonts w:cs="Times New Roman" w:ascii="Times New Roman" w:hAnsi="Times New Roman"/>
                <w:b/>
                <w:sz w:val="22"/>
              </w:rPr>
              <w:t>Percentage</w:t>
            </w:r>
          </w:p>
          <w:p>
            <w:pPr>
              <w:pStyle w:val="Normal"/>
              <w:widowControl/>
              <w:jc w:val="center"/>
              <w:rPr>
                <w:rFonts w:ascii="Times New Roman" w:hAnsi="Times New Roman" w:cs="Times New Roman"/>
                <w:b/>
                <w:sz w:val="22"/>
              </w:rPr>
            </w:pPr>
            <w:r>
              <w:rPr>
                <w:rFonts w:cs="Times New Roman" w:ascii="Times New Roman" w:hAnsi="Times New Roman"/>
                <w:b/>
                <w:sz w:val="22"/>
              </w:rPr>
            </w:r>
          </w:p>
        </w:tc>
      </w:tr>
      <w:tr>
        <w:trPr/>
        <w:tc>
          <w:tcPr>
            <w:tcW w:w="1800" w:type="dxa"/>
            <w:tcBorders/>
          </w:tcPr>
          <w:p>
            <w:pPr>
              <w:pStyle w:val="Normal"/>
              <w:widowControl/>
              <w:jc w:val="both"/>
              <w:rPr>
                <w:rFonts w:ascii="Times New Roman" w:hAnsi="Times New Roman" w:cs="Times New Roman"/>
                <w:color w:val="000000"/>
                <w:sz w:val="22"/>
              </w:rPr>
            </w:pPr>
            <w:r>
              <w:rPr>
                <w:rFonts w:cs="Times New Roman" w:ascii="Times New Roman" w:hAnsi="Times New Roman"/>
                <w:color w:val="000000"/>
                <w:sz w:val="22"/>
              </w:rPr>
              <w:t>Letters of Credit</w:t>
            </w:r>
          </w:p>
        </w:tc>
        <w:tc>
          <w:tcPr>
            <w:tcW w:w="1440" w:type="dxa"/>
            <w:tcBorders/>
          </w:tcPr>
          <w:p>
            <w:pPr>
              <w:pStyle w:val="Normal"/>
              <w:widowControl/>
              <w:jc w:val="center"/>
              <w:rPr>
                <w:rFonts w:ascii="Times New Roman" w:hAnsi="Times New Roman" w:cs="Times New Roman"/>
                <w:color w:val="000000"/>
                <w:sz w:val="22"/>
              </w:rPr>
            </w:pPr>
            <w:r>
              <w:rPr>
                <w:rFonts w:cs="Times New Roman" w:ascii="Times New Roman" w:hAnsi="Times New Roman"/>
                <w:color w:val="000000"/>
                <w:sz w:val="22"/>
              </w:rPr>
              <w:t>[X]</w:t>
            </w:r>
          </w:p>
        </w:tc>
        <w:tc>
          <w:tcPr>
            <w:tcW w:w="1644" w:type="dxa"/>
            <w:tcBorders/>
          </w:tcPr>
          <w:p>
            <w:pPr>
              <w:pStyle w:val="Normal"/>
              <w:widowControl/>
              <w:jc w:val="center"/>
              <w:rPr>
                <w:rFonts w:ascii="Times New Roman" w:hAnsi="Times New Roman" w:cs="Times New Roman"/>
                <w:color w:val="000000"/>
                <w:sz w:val="22"/>
              </w:rPr>
            </w:pPr>
            <w:r>
              <w:rPr>
                <w:rFonts w:cs="Times New Roman" w:ascii="Times New Roman" w:hAnsi="Times New Roman"/>
                <w:color w:val="000000"/>
                <w:sz w:val="22"/>
              </w:rPr>
              <w:t>[X]</w:t>
            </w:r>
          </w:p>
        </w:tc>
        <w:tc>
          <w:tcPr>
            <w:tcW w:w="3757" w:type="dxa"/>
            <w:tcBorders/>
          </w:tcPr>
          <w:p>
            <w:pPr>
              <w:pStyle w:val="Normal"/>
              <w:widowControl/>
              <w:rPr>
                <w:rFonts w:ascii="Times New Roman" w:hAnsi="Times New Roman" w:cs="Times New Roman"/>
                <w:color w:val="000000"/>
                <w:sz w:val="22"/>
              </w:rPr>
            </w:pPr>
            <w:r>
              <w:rPr>
                <w:rFonts w:cs="Times New Roman" w:ascii="Times New Roman" w:hAnsi="Times New Roman"/>
                <w:color w:val="000000"/>
                <w:sz w:val="22"/>
              </w:rPr>
              <w:t>100% of the Value of the Other Eligible Credit Support unless a Letter of Credit Default shall apply with respect to such Letter of Credit in which case the Valuation Percentage shall be 0.</w:t>
            </w:r>
          </w:p>
        </w:tc>
      </w:tr>
    </w:tbl>
    <w:p>
      <w:pPr>
        <w:pStyle w:val="Normal"/>
        <w:widowControl/>
        <w:ind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Thresholds.</w:t>
      </w:r>
    </w:p>
    <w:p>
      <w:pPr>
        <w:pStyle w:val="Normal"/>
        <w:widowControl/>
        <w:ind w:hanging="720" w:start="1440" w:end="0"/>
        <w:jc w:val="both"/>
        <w:rPr>
          <w:rFonts w:ascii="Times New Roman" w:hAnsi="Times New Roman" w:cs="Times New Roman"/>
          <w:b/>
          <w:sz w:val="22"/>
        </w:rPr>
      </w:pPr>
      <w:r>
        <w:rPr>
          <w:rFonts w:cs="Times New Roman" w:ascii="Times New Roman" w:hAnsi="Times New Roman"/>
          <w:b/>
          <w:sz w:val="22"/>
        </w:rPr>
      </w:r>
    </w:p>
    <w:p>
      <w:pPr>
        <w:pStyle w:val="Normal"/>
        <w:widowControl/>
        <w:tabs>
          <w:tab w:val="clear" w:pos="720"/>
          <w:tab w:val="left" w:pos="1134" w:leader="none"/>
        </w:tabs>
        <w:ind w:start="709" w:end="0"/>
        <w:jc w:val="both"/>
        <w:rPr/>
      </w:pPr>
      <w:r>
        <w:rPr>
          <w:rFonts w:cs="Times New Roman" w:ascii="Times New Roman" w:hAnsi="Times New Roman"/>
          <w:sz w:val="22"/>
        </w:rPr>
        <w:t xml:space="preserve">(A)  </w:t>
        <w:tab/>
      </w:r>
      <w:r>
        <w:rPr>
          <w:rFonts w:cs="Times New Roman" w:ascii="Times New Roman" w:hAnsi="Times New Roman"/>
          <w:b/>
          <w:sz w:val="22"/>
        </w:rPr>
        <w:t>“Independent Amount”</w:t>
      </w:r>
      <w:r>
        <w:rPr>
          <w:rFonts w:cs="Times New Roman" w:ascii="Times New Roman" w:hAnsi="Times New Roman"/>
          <w:sz w:val="22"/>
        </w:rPr>
        <w:t xml:space="preserve"> means with respect to Party A: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414" w:start="720" w:end="0"/>
        <w:jc w:val="both"/>
        <w:rPr/>
      </w:pPr>
      <w:r>
        <w:rPr>
          <w:rFonts w:cs="Times New Roman" w:ascii="Times New Roman" w:hAnsi="Times New Roman"/>
          <w:b/>
          <w:sz w:val="22"/>
        </w:rPr>
        <w:t>“</w:t>
      </w:r>
      <w:r>
        <w:rPr>
          <w:rFonts w:cs="Times New Roman" w:ascii="Times New Roman" w:hAnsi="Times New Roman"/>
          <w:b/>
          <w:sz w:val="22"/>
        </w:rPr>
        <w:t>Independent Amount”</w:t>
      </w:r>
      <w:r>
        <w:rPr>
          <w:rFonts w:cs="Times New Roman" w:ascii="Times New Roman" w:hAnsi="Times New Roman"/>
          <w:sz w:val="22"/>
        </w:rPr>
        <w:t xml:space="preserve"> means with respect to Party B:  nil.</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color w:val="000000"/>
          <w:sz w:val="22"/>
        </w:rPr>
        <w:t xml:space="preserve">(B) </w:t>
      </w:r>
      <w:r>
        <w:rPr>
          <w:rFonts w:cs="Times New Roman" w:ascii="Times New Roman" w:hAnsi="Times New Roman"/>
          <w:b/>
          <w:color w:val="000000"/>
          <w:sz w:val="22"/>
        </w:rPr>
        <w:t>“Threshold”</w:t>
      </w:r>
      <w:r>
        <w:rPr>
          <w:rFonts w:cs="Times New Roman" w:ascii="Times New Roman" w:hAnsi="Times New Roman"/>
          <w:color w:val="000000"/>
          <w:sz w:val="22"/>
        </w:rPr>
        <w:t xml:space="preserve"> means, with respect to Party A, U.S. $7,500,000.00 and with respect to Party B, U.S. $7,500,000.00; provided, however, that the Threshold for a party shall be zero upon the occurrence and during the continuance of a Material Adverse Change or an Event of Default or Potential Event of Default with respect to such party. </w:t>
      </w:r>
    </w:p>
    <w:p>
      <w:pPr>
        <w:pStyle w:val="Normal"/>
        <w:widowControl/>
        <w:ind w:hanging="720" w:start="216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start="720" w:end="0"/>
        <w:jc w:val="both"/>
        <w:rPr/>
      </w:pPr>
      <w:r>
        <w:rPr>
          <w:rFonts w:cs="Times New Roman" w:ascii="Times New Roman" w:hAnsi="Times New Roman"/>
          <w:sz w:val="22"/>
        </w:rPr>
        <w:t xml:space="preserve">(C)  </w:t>
      </w:r>
      <w:r>
        <w:rPr>
          <w:rFonts w:cs="Times New Roman" w:ascii="Times New Roman" w:hAnsi="Times New Roman"/>
          <w:b/>
          <w:sz w:val="22"/>
        </w:rPr>
        <w:t>“Minimum Transfer Amount”</w:t>
      </w:r>
      <w:r>
        <w:rPr>
          <w:rFonts w:cs="Times New Roman" w:ascii="Times New Roman" w:hAnsi="Times New Roman"/>
          <w:sz w:val="22"/>
        </w:rPr>
        <w:t xml:space="preserve"> means with respect to Party A:  U.S.$1.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pPr>
      <w:r>
        <w:rPr>
          <w:rFonts w:cs="Times New Roman" w:ascii="Times New Roman" w:hAnsi="Times New Roman"/>
          <w:b/>
          <w:sz w:val="22"/>
        </w:rPr>
        <w:t>“</w:t>
      </w:r>
      <w:r>
        <w:rPr>
          <w:rFonts w:cs="Times New Roman" w:ascii="Times New Roman" w:hAnsi="Times New Roman"/>
          <w:b/>
          <w:sz w:val="22"/>
        </w:rPr>
        <w:t>Minimum Transfer Amount”</w:t>
      </w:r>
      <w:r>
        <w:rPr>
          <w:rFonts w:cs="Times New Roman" w:ascii="Times New Roman" w:hAnsi="Times New Roman"/>
          <w:sz w:val="22"/>
        </w:rPr>
        <w:t xml:space="preserve"> means with respect to Party B:  U.S.$1.</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t>(D)  Rounding.  The Delivery Amount will be rounded up to the nearest integral multiple of U.S. $500,000.00 and the Return Amount will be rounded down to the nearest integral multiple of U.S. $500,000.00.</w:t>
      </w:r>
    </w:p>
    <w:p>
      <w:pPr>
        <w:pStyle w:val="Normal"/>
        <w:widowControl/>
        <w:ind w:hanging="720" w:start="720" w:end="0"/>
        <w:jc w:val="both"/>
        <w:rPr>
          <w:rFonts w:ascii="Times New Roman" w:hAnsi="Times New Roman" w:cs="Times New Roman"/>
          <w:color w:val="000000"/>
          <w:sz w:val="22"/>
        </w:rPr>
      </w:pPr>
      <w:r>
        <w:rPr>
          <w:rFonts w:cs="Times New Roman" w:ascii="Times New Roman" w:hAnsi="Times New Roman"/>
          <w:color w:val="000000"/>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(c)  </w:t>
      </w:r>
      <w:r>
        <w:rPr>
          <w:rFonts w:cs="Times New Roman" w:ascii="Times New Roman" w:hAnsi="Times New Roman"/>
          <w:b/>
          <w:sz w:val="22"/>
        </w:rPr>
        <w:t>Valuation and Timing.</w:t>
      </w:r>
    </w:p>
    <w:p>
      <w:pPr>
        <w:pStyle w:val="Normal"/>
        <w:widowControl/>
        <w:spacing w:before="240" w:after="0"/>
        <w:ind w:start="720" w:end="0"/>
        <w:jc w:val="both"/>
        <w:rPr/>
      </w:pPr>
      <w:r>
        <w:rPr>
          <w:rFonts w:cs="Times New Roman" w:ascii="Times New Roman" w:hAnsi="Times New Roman"/>
          <w:sz w:val="22"/>
        </w:rPr>
        <w:t xml:space="preserve">(i)  </w:t>
      </w:r>
      <w:r>
        <w:rPr>
          <w:rFonts w:cs="Times New Roman" w:ascii="Times New Roman" w:hAnsi="Times New Roman"/>
          <w:b/>
          <w:sz w:val="22"/>
        </w:rPr>
        <w:t>“Valuation Agent”</w:t>
      </w:r>
      <w:r>
        <w:rPr>
          <w:rFonts w:cs="Times New Roman" w:ascii="Times New Roman" w:hAnsi="Times New Roman"/>
          <w:sz w:val="22"/>
        </w:rPr>
        <w:t xml:space="preserve"> means, for purposes of Paragraph 2, the party making the demand under Paragraph 2; for purposes of Paragraph 3(c), the Transferee for purposes of calculating the Value of the New Credit Support and Original Credit Support involved in the exchange; for purposes of Paragraph 4, the Transferee; and for purposes of Paragraph 5(c), the Transferee receiving or deemed to receive the Distributions or the Interest Amount, as applicable; provided, however, that in all cases, if an Event of Default or Potential Event of Default has occurred and is continuing with respect to the party designated as the Valuation Agent, then in such case, and for so long as the Event of Default or Potential Event of Default continues, the other party shall be the Valuation Agent.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“Valuation Date”</w:t>
      </w:r>
      <w:r>
        <w:rPr>
          <w:rFonts w:cs="Times New Roman" w:ascii="Times New Roman" w:hAnsi="Times New Roman"/>
          <w:sz w:val="22"/>
        </w:rPr>
        <w:t xml:space="preserve"> means any Local Business Day.</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“Valuation Time”</w:t>
      </w:r>
      <w:r>
        <w:rPr>
          <w:rFonts w:cs="Times New Roman" w:ascii="Times New Roman" w:hAnsi="Times New Roman"/>
          <w:sz w:val="22"/>
        </w:rPr>
        <w:t xml:space="preserve"> means:</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t>[  ]</w:t>
        <w:tab/>
        <w:t>the close of business in the city of the Valuation Agent on the Valuation Date or date of calculation, as applicable;</w:t>
      </w:r>
    </w:p>
    <w:p>
      <w:pPr>
        <w:pStyle w:val="Normal"/>
        <w:widowControl/>
        <w:ind w:hanging="360" w:start="1440" w:end="0"/>
        <w:jc w:val="both"/>
        <w:rPr>
          <w:rFonts w:ascii="Times New Roman" w:hAnsi="Times New Roman" w:cs="Times New Roman"/>
          <w:sz w:val="22"/>
        </w:rPr>
      </w:pPr>
      <w:r>
        <w:rPr>
          <w:rFonts w:cs="Times New Roman" w:ascii="Times New Roman" w:hAnsi="Times New Roman"/>
          <w:sz w:val="22"/>
        </w:rPr>
      </w:r>
    </w:p>
    <w:p>
      <w:pPr>
        <w:pStyle w:val="Normal"/>
        <w:widowControl/>
        <w:ind w:firstLine="360" w:start="720" w:end="0"/>
        <w:jc w:val="both"/>
        <w:rPr>
          <w:rFonts w:ascii="Times New Roman" w:hAnsi="Times New Roman" w:cs="Times New Roman"/>
          <w:sz w:val="22"/>
        </w:rPr>
      </w:pPr>
      <w:r>
        <w:rPr>
          <w:rFonts w:cs="Times New Roman" w:ascii="Times New Roman" w:hAnsi="Times New Roman"/>
          <w:sz w:val="22"/>
        </w:rPr>
        <w:t>[X]</w:t>
        <w:tab/>
        <w:t xml:space="preserve">the close of business in the city of the Valuation Agent on the Local Business Day before the </w:t>
        <w:tab/>
        <w:t>Valuation Date or date of calculation, as applicable;</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provided that the calculations of Value and Exposure will be made as of approximately the same time on the same date.</w:t>
      </w:r>
    </w:p>
    <w:p>
      <w:pPr>
        <w:pStyle w:val="Normal"/>
        <w:widowControl/>
        <w:ind w:start="36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(iv)  “</w:t>
      </w:r>
      <w:r>
        <w:rPr>
          <w:rFonts w:cs="Times New Roman" w:ascii="Times New Roman" w:hAnsi="Times New Roman"/>
          <w:b/>
          <w:sz w:val="22"/>
        </w:rPr>
        <w:t>Notification Time”</w:t>
      </w:r>
      <w:r>
        <w:rPr>
          <w:rFonts w:cs="Times New Roman" w:ascii="Times New Roman" w:hAnsi="Times New Roman"/>
          <w:sz w:val="22"/>
        </w:rPr>
        <w:t xml:space="preserve"> means 11:00 a.m., London time, on a Local Business Day.</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b/>
          <w:sz w:val="22"/>
        </w:rPr>
      </w:pPr>
      <w:r>
        <w:rPr>
          <w:rFonts w:cs="Times New Roman" w:ascii="Times New Roman" w:hAnsi="Times New Roman"/>
          <w:sz w:val="22"/>
        </w:rPr>
        <w:t xml:space="preserve">(d)  </w:t>
      </w:r>
      <w:r>
        <w:rPr>
          <w:rFonts w:cs="Times New Roman" w:ascii="Times New Roman" w:hAnsi="Times New Roman"/>
          <w:b/>
          <w:sz w:val="22"/>
        </w:rPr>
        <w:t>Exchange Date. “Exchange Date”</w:t>
      </w:r>
      <w:r>
        <w:rPr>
          <w:rFonts w:cs="Times New Roman" w:ascii="Times New Roman" w:hAnsi="Times New Roman"/>
          <w:sz w:val="22"/>
        </w:rPr>
        <w:t xml:space="preserve"> has the meaning specified in Paragraph 3(c)(ii).</w:t>
      </w:r>
    </w:p>
    <w:p>
      <w:pPr>
        <w:pStyle w:val="Normal"/>
        <w:widowControl/>
        <w:ind w:hanging="720"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(e)  </w:t>
      </w:r>
      <w:r>
        <w:rPr>
          <w:rFonts w:cs="Times New Roman" w:ascii="Times New Roman" w:hAnsi="Times New Roman"/>
          <w:b/>
          <w:sz w:val="22"/>
        </w:rPr>
        <w:t>Dispute Resolution.</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“Resolution Time”</w:t>
      </w:r>
      <w:r>
        <w:rPr>
          <w:rFonts w:cs="Times New Roman" w:ascii="Times New Roman" w:hAnsi="Times New Roman"/>
          <w:sz w:val="22"/>
        </w:rPr>
        <w:t xml:space="preserve"> means 1:00 p.m., London time, on the third Local Business Day following the date on which notice of the dispute is given under Paragraph 4.</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Value.</w:t>
      </w:r>
      <w:r>
        <w:rPr>
          <w:rFonts w:cs="Times New Roman" w:ascii="Times New Roman" w:hAnsi="Times New Roman"/>
          <w:sz w:val="22"/>
        </w:rPr>
        <w:t xml:space="preserve">  For the purpose of Paragraphs 4(a)(4)(i)(C) and 4(a)(4)(ii), the Value of the outstanding Credit Support Balance or of any transfer of Eligible Credit Support or Equivalent Credit Support, as the case may be, will be calculated as follows: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080" w:end="0"/>
        <w:jc w:val="both"/>
        <w:rPr>
          <w:rFonts w:ascii="Times New Roman" w:hAnsi="Times New Roman" w:cs="Times New Roman"/>
          <w:sz w:val="22"/>
        </w:rPr>
      </w:pPr>
      <w:r>
        <w:rPr>
          <w:rFonts w:cs="Times New Roman" w:ascii="Times New Roman" w:hAnsi="Times New Roman"/>
          <w:sz w:val="22"/>
        </w:rPr>
        <w:t>(A)  with respect to cash, the face amount thereof multiplied by the applicable Valuation Percentage, if any; and</w:t>
      </w:r>
    </w:p>
    <w:p>
      <w:pPr>
        <w:pStyle w:val="Normal"/>
        <w:widowControl/>
        <w:ind w:start="1080" w:end="0"/>
        <w:jc w:val="both"/>
        <w:rPr>
          <w:rFonts w:ascii="Times New Roman" w:hAnsi="Times New Roman" w:cs="Times New Roman"/>
          <w:sz w:val="22"/>
        </w:rPr>
      </w:pPr>
      <w:r>
        <w:rPr>
          <w:rFonts w:cs="Times New Roman" w:ascii="Times New Roman" w:hAnsi="Times New Roman"/>
          <w:sz w:val="22"/>
        </w:rPr>
        <w:br/>
        <w:t>(B) with respect to a Letter of Credit, the stated amount under the Letter of Credit then available to be unconditionally drawn by the Transferee thereof multiplied by the applicable Valuation Percentage, if any.</w:t>
      </w:r>
    </w:p>
    <w:p>
      <w:pPr>
        <w:pStyle w:val="Normal"/>
        <w:widowControl/>
        <w:ind w:start="108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w:t>
      </w:r>
      <w:r>
        <w:rPr>
          <w:rFonts w:cs="Times New Roman" w:ascii="Times New Roman" w:hAnsi="Times New Roman"/>
          <w:sz w:val="22"/>
        </w:rPr>
        <w:t xml:space="preserve">  The provisions of Paragraph 4 will apply except to the following extent: pending the resolution of a dispute, Transfer of the undisputed Value of Eligible Credit Support or Other Eligible Credit Support involved in the relevant demand will be due as provided in Paragraph 4 if the demand is given by the Notification Time but will be due on the second Local Business Day after the demand if the demand is given after the Notification Time.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(f)</w:t>
        <w:tab/>
      </w:r>
      <w:r>
        <w:rPr>
          <w:rFonts w:cs="Times New Roman" w:ascii="Times New Roman" w:hAnsi="Times New Roman"/>
          <w:b/>
          <w:sz w:val="22"/>
        </w:rPr>
        <w:t>Distributions and Interest Amount.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  </w:t>
      </w:r>
      <w:r>
        <w:rPr>
          <w:rFonts w:cs="Times New Roman" w:ascii="Times New Roman" w:hAnsi="Times New Roman"/>
          <w:b/>
          <w:sz w:val="22"/>
        </w:rPr>
        <w:t>Interest Rate.</w:t>
      </w:r>
      <w:r>
        <w:rPr>
          <w:rFonts w:cs="Times New Roman" w:ascii="Times New Roman" w:hAnsi="Times New Roman"/>
          <w:sz w:val="22"/>
        </w:rPr>
        <w:t xml:space="preserve">  The </w:t>
      </w:r>
      <w:r>
        <w:rPr>
          <w:rFonts w:cs="Times New Roman" w:ascii="Times New Roman" w:hAnsi="Times New Roman"/>
          <w:b/>
          <w:sz w:val="22"/>
        </w:rPr>
        <w:t>“Interest Rate”</w:t>
      </w:r>
      <w:r>
        <w:rPr>
          <w:rFonts w:cs="Times New Roman" w:ascii="Times New Roman" w:hAnsi="Times New Roman"/>
          <w:sz w:val="22"/>
        </w:rPr>
        <w:t xml:space="preserve"> in relation to each Eligible Currency will be: (i) the Federal Funds Overnight Rate as from time to time in effect for the Base Currency.</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Interest Amount.</w:t>
      </w:r>
      <w:r>
        <w:rPr>
          <w:rFonts w:cs="Times New Roman" w:ascii="Times New Roman" w:hAnsi="Times New Roman"/>
          <w:sz w:val="22"/>
        </w:rPr>
        <w:t xml:space="preserve">  The Transfer of the Interest Amount will be made on the last Local Business Day of each calendar month and on any Local Business Day that a Return Amount consisting wholly or partly of cash is transferred to the Transferor pursuant to Paragraph 2(b).</w:t>
      </w:r>
    </w:p>
    <w:p>
      <w:pPr>
        <w:pStyle w:val="Normal"/>
        <w:widowControl/>
        <w:ind w:hanging="720" w:start="144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Alternative to Interest Amount.</w:t>
      </w:r>
      <w:r>
        <w:rPr>
          <w:rFonts w:cs="Times New Roman" w:ascii="Times New Roman" w:hAnsi="Times New Roman"/>
          <w:sz w:val="22"/>
        </w:rPr>
        <w:t xml:space="preserve">  The provisions of Paragraph 5(c)(ii) will apply except that if Transfer of an Interest Amount (or any portion thereof) to a Transferor on any day would result in, or increase, a Delivery Amount (treating the day as a Valuation Day, as provided in Paragraph 5(c)(ii)), but the Transferor would nonetheless have no obligation to make a Transfer pursuant to Paragraph 2(a) on that day if it were a Valuation Day (because the Delivery Amount is lower than the Transferor’s Minimum Transfer Amount or otherwise), the Transferee will be required to Transfer that Interest Amount (or portion thereof) to the Transferor, notwithstanding anything to the contrary in Paragraph 5(c)(ii).</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(g)</w:t>
        <w:tab/>
      </w:r>
      <w:r>
        <w:rPr>
          <w:rFonts w:cs="Times New Roman" w:ascii="Times New Roman" w:hAnsi="Times New Roman"/>
          <w:b/>
          <w:sz w:val="22"/>
        </w:rPr>
        <w:t>Addresses for Transfers.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A:</w:t>
        <w:tab/>
        <w:t>To be provided in notice requesting delivery/return of Eligible Credit Support, Other Eligible Credit Support, Equivalent Credit Support or Other Equivalent Credit Support.</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hanging="981" w:start="1701" w:end="0"/>
        <w:jc w:val="both"/>
        <w:rPr>
          <w:rFonts w:ascii="Times New Roman" w:hAnsi="Times New Roman" w:cs="Times New Roman"/>
          <w:sz w:val="22"/>
        </w:rPr>
      </w:pPr>
      <w:r>
        <w:rPr>
          <w:rFonts w:cs="Times New Roman" w:ascii="Times New Roman" w:hAnsi="Times New Roman"/>
          <w:sz w:val="22"/>
        </w:rPr>
        <w:t>Party B:</w:t>
        <w:tab/>
        <w:t>To be provided in notice requesting delivery/return of Eligible Credit Support, Other Eligible Credit Support, Equivalent Credit Support or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ind w:hanging="720" w:start="720" w:end="0"/>
        <w:jc w:val="both"/>
        <w:rPr>
          <w:rFonts w:ascii="Times New Roman" w:hAnsi="Times New Roman" w:cs="Times New Roman"/>
          <w:sz w:val="22"/>
        </w:rPr>
      </w:pPr>
      <w:r>
        <w:rPr>
          <w:rFonts w:cs="Times New Roman" w:ascii="Times New Roman" w:hAnsi="Times New Roman"/>
          <w:sz w:val="22"/>
        </w:rPr>
        <w:t>(h)</w:t>
        <w:tab/>
      </w:r>
      <w:r>
        <w:rPr>
          <w:rFonts w:cs="Times New Roman" w:ascii="Times New Roman" w:hAnsi="Times New Roman"/>
          <w:b/>
          <w:sz w:val="22"/>
        </w:rPr>
        <w:t>Other Provisions.</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rFonts w:ascii="Times New Roman" w:hAnsi="Times New Roman" w:cs="Times New Roman"/>
          <w:sz w:val="22"/>
        </w:rPr>
      </w:pPr>
      <w:r>
        <w:rPr>
          <w:rFonts w:cs="Times New Roman" w:ascii="Times New Roman" w:hAnsi="Times New Roman"/>
          <w:sz w:val="22"/>
        </w:rPr>
        <w:t>(i)  Paragraph 5(c)(i) is hereby amended by adding the following sentence:</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1134" w:end="0"/>
        <w:jc w:val="both"/>
        <w:rPr>
          <w:rFonts w:ascii="Times New Roman" w:hAnsi="Times New Roman" w:cs="Times New Roman"/>
          <w:sz w:val="22"/>
        </w:rPr>
      </w:pPr>
      <w:r>
        <w:rPr>
          <w:rFonts w:cs="Times New Roman" w:ascii="Times New Roman" w:hAnsi="Times New Roman"/>
          <w:sz w:val="22"/>
        </w:rPr>
        <w:t>“</w:t>
      </w:r>
      <w:r>
        <w:rPr>
          <w:rFonts w:cs="Times New Roman" w:ascii="Times New Roman" w:hAnsi="Times New Roman"/>
          <w:sz w:val="22"/>
        </w:rPr>
        <w:t>Subject to Paragraph 4 and only to the extent contemplated in the previous sentence, if a Transferee receives or is deemed to receive Distributions on a day that is not a Local Business Day, or after its close of business on a Local Business Day, it will transfer Distributions to the Transferor on the second following Local Business Day.”</w:t>
      </w:r>
    </w:p>
    <w:p>
      <w:pPr>
        <w:pStyle w:val="Normal"/>
        <w:widowControl/>
        <w:jc w:val="both"/>
        <w:rPr>
          <w:rFonts w:ascii="Times New Roman" w:hAnsi="Times New Roman" w:cs="Times New Roman"/>
          <w:sz w:val="22"/>
        </w:rPr>
      </w:pPr>
      <w:r>
        <w:rPr>
          <w:rFonts w:cs="Times New Roman" w:ascii="Times New Roman" w:hAnsi="Times New Roman"/>
          <w:sz w:val="22"/>
        </w:rPr>
        <w:tab/>
      </w:r>
    </w:p>
    <w:p>
      <w:pPr>
        <w:pStyle w:val="BodyTextIndent3"/>
        <w:rPr/>
      </w:pPr>
      <w:r>
        <w:rPr/>
        <w:tab/>
        <w:t>(ii) Paragraph 10 is hereby amended by:</w:t>
      </w:r>
    </w:p>
    <w:p>
      <w:pPr>
        <w:pStyle w:val="BodyTextIndent3"/>
        <w:spacing w:before="120" w:after="0"/>
        <w:ind w:hanging="0" w:end="0"/>
        <w:rPr/>
      </w:pPr>
      <w:r>
        <w:rPr/>
        <w:t>(A) adding at the end of the definition of Local Business Day the following Subparagraph (v):</w:t>
      </w:r>
    </w:p>
    <w:p>
      <w:pPr>
        <w:pStyle w:val="Normal"/>
        <w:widowControl/>
        <w:ind w:hanging="709" w:start="1276" w:end="0"/>
        <w:jc w:val="both"/>
        <w:rPr>
          <w:rFonts w:ascii="Times New Roman" w:hAnsi="Times New Roman" w:cs="Times New Roman"/>
          <w:sz w:val="22"/>
        </w:rPr>
      </w:pPr>
      <w:r>
        <w:rPr>
          <w:rFonts w:cs="Times New Roman" w:ascii="Times New Roman" w:hAnsi="Times New Roman"/>
          <w:sz w:val="22"/>
        </w:rPr>
        <w:tab/>
        <w:tab/>
        <w:tab/>
        <w:br/>
        <w:t>“(v)</w:t>
        <w:tab/>
        <w:t>in relation to a transfer of a Letter of Credit, a day on which commercial banks are open for business (including dealings in foreign exchange and foreign currency deposits) in London and New York.”;</w:t>
      </w:r>
    </w:p>
    <w:p>
      <w:pPr>
        <w:pStyle w:val="BodyTextIndent2"/>
        <w:spacing w:before="120" w:after="0"/>
        <w:rPr/>
      </w:pPr>
      <w:r>
        <w:rPr/>
        <w:t>(B) adding, in their alphabetic order, the following:</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Credit Rating”</w:t>
      </w:r>
      <w:r>
        <w:rPr>
          <w:rFonts w:cs="Times New Roman" w:ascii="Times New Roman" w:hAnsi="Times New Roman"/>
          <w:sz w:val="22"/>
        </w:rPr>
        <w:t xml:space="preserve"> means with respect to an entity, on any date of determination, the respective ratings then assigned to such entity’s unsecured, senior long-term debt or deposit obligations (not supported by third party credit enhancement) by S&amp;P, Moody’s or the other specified rating agency or agencies.</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Federal Funds Overnight Rate”</w:t>
      </w:r>
      <w:r>
        <w:rPr>
          <w:rFonts w:cs="Times New Roman" w:ascii="Times New Roman" w:hAnsi="Times New Roman"/>
          <w:sz w:val="22"/>
        </w:rPr>
        <w:t xml:space="preserve"> means, for the relevant determination date the rate opposite the caption “Federal Funds (Effective)” as set forth in the weekly statistical release designated as H.15 (519), or any successor publication, published by the Board of Governors of the Federal Reserve System.</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color w:val="000000"/>
          <w:sz w:val="22"/>
        </w:rPr>
        <w:t>“</w:t>
      </w:r>
      <w:r>
        <w:rPr>
          <w:rFonts w:cs="Times New Roman" w:ascii="Times New Roman" w:hAnsi="Times New Roman"/>
          <w:b/>
          <w:color w:val="000000"/>
          <w:sz w:val="22"/>
        </w:rPr>
        <w:t>Issuer”</w:t>
      </w:r>
      <w:r>
        <w:rPr>
          <w:rFonts w:cs="Times New Roman" w:ascii="Times New Roman" w:hAnsi="Times New Roman"/>
          <w:color w:val="000000"/>
          <w:sz w:val="22"/>
        </w:rPr>
        <w:t xml:space="preserve"> means a major United Kingdom commercial bank or foreign bank with a branch office in the United Kingdom and with a Credit Rating of at least “A” by S&amp;P or “A2” by Moody’s which issues a Letter of Credit. </w:t>
      </w:r>
    </w:p>
    <w:p>
      <w:pPr>
        <w:pStyle w:val="Normal"/>
        <w:widowControl/>
        <w:ind w:start="720" w:end="0"/>
        <w:jc w:val="both"/>
        <w:rPr>
          <w:rFonts w:ascii="Times New Roman" w:hAnsi="Times New Roman" w:cs="Times New Roman"/>
          <w:b/>
          <w:color w:val="000000"/>
          <w:sz w:val="22"/>
        </w:rPr>
      </w:pPr>
      <w:r>
        <w:rPr>
          <w:rFonts w:cs="Times New Roman" w:ascii="Times New Roman" w:hAnsi="Times New Roman"/>
          <w:b/>
          <w:color w:val="000000"/>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Letter of Credit”</w:t>
      </w:r>
      <w:r>
        <w:rPr>
          <w:rFonts w:cs="Times New Roman" w:ascii="Times New Roman" w:hAnsi="Times New Roman"/>
          <w:sz w:val="22"/>
        </w:rPr>
        <w:t xml:space="preserve"> means an irrevocable, standby letter of credit or bank guarantee, issued by an Issuer utilizing, as appropriate, the form set forth in Schedule 1, with such changes to the terms in that form as that Issuer may require and as may be acceptable to the Transferee.</w:t>
      </w:r>
    </w:p>
    <w:p>
      <w:pPr>
        <w:pStyle w:val="Normal"/>
        <w:widowControl/>
        <w:ind w:start="720" w:end="0"/>
        <w:jc w:val="both"/>
        <w:rPr>
          <w:rFonts w:ascii="Times New Roman" w:hAnsi="Times New Roman" w:cs="Times New Roman"/>
          <w:color w:val="0000FF"/>
          <w:sz w:val="22"/>
        </w:rPr>
      </w:pPr>
      <w:r>
        <w:rPr>
          <w:rFonts w:cs="Times New Roman" w:ascii="Times New Roman" w:hAnsi="Times New Roman"/>
          <w:color w:val="0000FF"/>
          <w:sz w:val="22"/>
        </w:rPr>
      </w:r>
    </w:p>
    <w:p>
      <w:pPr>
        <w:pStyle w:val="Normal"/>
        <w:ind w:start="720" w:end="-22"/>
        <w:jc w:val="both"/>
        <w:rPr/>
      </w:pPr>
      <w:r>
        <w:rPr>
          <w:rFonts w:cs="Times New Roman" w:ascii="Times New Roman" w:hAnsi="Times New Roman"/>
          <w:b/>
          <w:color w:val="000000"/>
          <w:sz w:val="22"/>
        </w:rPr>
        <w:t>“</w:t>
      </w:r>
      <w:r>
        <w:rPr>
          <w:rFonts w:cs="Times New Roman" w:ascii="Times New Roman" w:hAnsi="Times New Roman"/>
          <w:b/>
          <w:color w:val="000000"/>
          <w:sz w:val="22"/>
        </w:rPr>
        <w:t>Material Adverse Change”</w:t>
      </w:r>
      <w:r>
        <w:rPr>
          <w:rFonts w:cs="Times New Roman" w:ascii="Times New Roman" w:hAnsi="Times New Roman"/>
          <w:color w:val="000000"/>
          <w:sz w:val="22"/>
        </w:rPr>
        <w:t xml:space="preserve"> means (a) with respect to Party A, Enron Corp.’s Credit Rating is below “Ba2” by Moody’s or below “BB” by S&amp;P; or (b) with respect to Party B, the Long Term Senior Unsecured Foreign Currency Debt Credit Rating for the Republic of the Philippines is below “Ba2” by Moody’s or below “BB” by S&amp;P.</w:t>
      </w:r>
    </w:p>
    <w:p>
      <w:pPr>
        <w:pStyle w:val="Normal"/>
        <w:widowControl/>
        <w:ind w:start="720" w:end="0"/>
        <w:jc w:val="both"/>
        <w:rPr>
          <w:rFonts w:ascii="Times New Roman" w:hAnsi="Times New Roman" w:cs="Times New Roman"/>
          <w:color w:val="000000"/>
          <w:sz w:val="22"/>
        </w:rPr>
      </w:pPr>
      <w:r>
        <w:rPr>
          <w:rFonts w:cs="Times New Roman" w:ascii="Times New Roman" w:hAnsi="Times New Roman"/>
          <w:color w:val="000000"/>
          <w:sz w:val="22"/>
        </w:rPr>
        <w:t>.</w:t>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Moody’s”</w:t>
      </w:r>
      <w:r>
        <w:rPr>
          <w:rFonts w:cs="Times New Roman" w:ascii="Times New Roman" w:hAnsi="Times New Roman"/>
          <w:sz w:val="22"/>
        </w:rPr>
        <w:t xml:space="preserve"> means Moody’s Investors Service, Inc. or its successor.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b/>
          <w:sz w:val="22"/>
        </w:rPr>
        <w:t xml:space="preserve"> “</w:t>
      </w:r>
      <w:r>
        <w:rPr>
          <w:rFonts w:cs="Times New Roman" w:ascii="Times New Roman" w:hAnsi="Times New Roman"/>
          <w:b/>
          <w:sz w:val="22"/>
        </w:rPr>
        <w:t>Other Eligible Credit Support”</w:t>
      </w:r>
      <w:r>
        <w:rPr>
          <w:rFonts w:cs="Times New Roman" w:ascii="Times New Roman" w:hAnsi="Times New Roman"/>
          <w:sz w:val="22"/>
        </w:rPr>
        <w:t xml:space="preserve"> means, with respect to a party, the items, if any, specified as such for that party in Paragraph 11(b)(ii)(B).</w:t>
      </w:r>
    </w:p>
    <w:p>
      <w:pPr>
        <w:pStyle w:val="Normal"/>
        <w:widowControl/>
        <w:ind w:start="720" w:end="0"/>
        <w:jc w:val="both"/>
        <w:rPr>
          <w:rFonts w:ascii="Times New Roman" w:hAnsi="Times New Roman" w:cs="Times New Roman"/>
          <w:b/>
          <w:sz w:val="22"/>
        </w:rPr>
      </w:pPr>
      <w:r>
        <w:rPr>
          <w:rFonts w:cs="Times New Roman" w:ascii="Times New Roman" w:hAnsi="Times New Roman"/>
          <w:b/>
          <w:sz w:val="22"/>
        </w:rPr>
      </w:r>
    </w:p>
    <w:p>
      <w:pPr>
        <w:pStyle w:val="Normal"/>
        <w:widowControl/>
        <w:ind w:start="720" w:end="0"/>
        <w:jc w:val="both"/>
        <w:rPr/>
      </w:pPr>
      <w:r>
        <w:rPr>
          <w:rFonts w:cs="Times New Roman" w:ascii="Times New Roman" w:hAnsi="Times New Roman"/>
          <w:b/>
          <w:sz w:val="22"/>
        </w:rPr>
        <w:t>“</w:t>
      </w:r>
      <w:r>
        <w:rPr>
          <w:rFonts w:cs="Times New Roman" w:ascii="Times New Roman" w:hAnsi="Times New Roman"/>
          <w:b/>
          <w:sz w:val="22"/>
        </w:rPr>
        <w:t>Other Equivalent Credit Support”</w:t>
      </w:r>
      <w:r>
        <w:rPr>
          <w:rFonts w:cs="Times New Roman" w:ascii="Times New Roman" w:hAnsi="Times New Roman"/>
          <w:sz w:val="22"/>
        </w:rPr>
        <w:t xml:space="preserve"> means, in relation to any Other Eligible Credit Support comprised in the Credit Support Balance, Other Eligible Credit Support of the same type, nominal value, description and amount as that Other Eligible Credit Support.</w:t>
      </w:r>
    </w:p>
    <w:p>
      <w:pPr>
        <w:pStyle w:val="Normal"/>
        <w:widowControl/>
        <w:ind w:start="720" w:end="0"/>
        <w:jc w:val="both"/>
        <w:rPr>
          <w:rFonts w:ascii="Times New Roman" w:hAnsi="Times New Roman" w:cs="Times New Roman"/>
          <w:b/>
          <w:color w:val="000000"/>
          <w:sz w:val="22"/>
        </w:rPr>
      </w:pPr>
      <w:r>
        <w:rPr>
          <w:rFonts w:cs="Times New Roman" w:ascii="Times New Roman" w:hAnsi="Times New Roman"/>
          <w:b/>
          <w:color w:val="000000"/>
          <w:sz w:val="22"/>
        </w:rPr>
      </w:r>
    </w:p>
    <w:p>
      <w:pPr>
        <w:pStyle w:val="Normal"/>
        <w:widowControl/>
        <w:ind w:start="720" w:end="0"/>
        <w:jc w:val="both"/>
        <w:rPr/>
      </w:pPr>
      <w:r>
        <w:rPr>
          <w:rFonts w:cs="Times New Roman" w:ascii="Times New Roman" w:hAnsi="Times New Roman"/>
          <w:b/>
          <w:color w:val="000000"/>
          <w:sz w:val="22"/>
        </w:rPr>
        <w:t>“</w:t>
      </w:r>
      <w:r>
        <w:rPr>
          <w:rFonts w:cs="Times New Roman" w:ascii="Times New Roman" w:hAnsi="Times New Roman"/>
          <w:b/>
          <w:color w:val="000000"/>
          <w:sz w:val="22"/>
        </w:rPr>
        <w:t>S&amp;P”</w:t>
      </w:r>
      <w:r>
        <w:rPr>
          <w:rFonts w:cs="Times New Roman" w:ascii="Times New Roman" w:hAnsi="Times New Roman"/>
          <w:color w:val="000000"/>
          <w:sz w:val="22"/>
        </w:rPr>
        <w:t xml:space="preserve"> means the Standard &amp; Poor's Rating Group (a division of McGraw-Hill, Inc.) or its successor.</w:t>
      </w:r>
    </w:p>
    <w:p>
      <w:pPr>
        <w:pStyle w:val="Normal"/>
        <w:widowControl/>
        <w:ind w:start="720" w:end="0"/>
        <w:jc w:val="both"/>
        <w:rPr>
          <w:rFonts w:ascii="Times New Roman" w:hAnsi="Times New Roman" w:cs="Times New Roman"/>
          <w:color w:val="0000FF"/>
          <w:sz w:val="22"/>
        </w:rPr>
      </w:pPr>
      <w:r>
        <w:rPr>
          <w:rFonts w:cs="Times New Roman" w:ascii="Times New Roman" w:hAnsi="Times New Roman"/>
          <w:color w:val="0000FF"/>
          <w:sz w:val="22"/>
        </w:rPr>
      </w:r>
    </w:p>
    <w:p>
      <w:pPr>
        <w:pStyle w:val="Normal"/>
        <w:widowControl/>
        <w:ind w:hanging="709" w:start="709" w:end="0"/>
        <w:jc w:val="both"/>
        <w:rPr>
          <w:rFonts w:ascii="Times New Roman" w:hAnsi="Times New Roman" w:cs="Times New Roman"/>
          <w:color w:val="0000FF"/>
          <w:sz w:val="22"/>
        </w:rPr>
      </w:pPr>
      <w:r>
        <w:rPr>
          <w:rFonts w:cs="Times New Roman" w:ascii="Times New Roman" w:hAnsi="Times New Roman"/>
          <w:color w:val="0000FF"/>
          <w:sz w:val="22"/>
        </w:rPr>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t xml:space="preserve"> </w:t>
      </w:r>
      <w:r>
        <w:rPr>
          <w:rFonts w:cs="Times New Roman" w:ascii="Times New Roman" w:hAnsi="Times New Roman"/>
          <w:sz w:val="22"/>
        </w:rPr>
        <w:t>(i)</w:t>
        <w:tab/>
      </w:r>
      <w:r>
        <w:rPr>
          <w:rFonts w:cs="Times New Roman" w:ascii="Times New Roman" w:hAnsi="Times New Roman"/>
          <w:b/>
          <w:sz w:val="22"/>
        </w:rPr>
        <w:t>Other Eligible Credit Support and Other Equivalent Credit Support</w:t>
      </w:r>
    </w:p>
    <w:p>
      <w:pPr>
        <w:pStyle w:val="Normal"/>
        <w:widowControl/>
        <w:ind w:hanging="720" w:start="720" w:end="0"/>
        <w:jc w:val="both"/>
        <w:rPr>
          <w:rFonts w:ascii="Times New Roman" w:hAnsi="Times New Roman" w:cs="Times New Roman"/>
          <w:sz w:val="22"/>
        </w:rPr>
      </w:pPr>
      <w:r>
        <w:rPr>
          <w:rFonts w:cs="Times New Roman" w:ascii="Times New Roman" w:hAnsi="Times New Roman"/>
          <w:sz w:val="22"/>
        </w:rPr>
      </w:r>
    </w:p>
    <w:p>
      <w:pPr>
        <w:pStyle w:val="BodyTextIndent"/>
        <w:tabs>
          <w:tab w:val="clear" w:pos="1440"/>
        </w:tabs>
        <w:spacing w:before="0" w:after="0"/>
        <w:rPr/>
      </w:pPr>
      <w:r>
        <w:rPr/>
        <w:t>(i) Any reference in the Annex to “Eligible Credit Support” or “Equivalent Credit Support” shall be deemed to include a reference to “Other Eligible Credit Support” or “Other Equivalent Credit Support” as appropriate when used in Paragraphs 2,3 and 4, and the definitions of “Credit Support Balance”, “Valuation Percentage” and Subparagraph (ii) of “Value” in Paragraph 10.</w:t>
      </w:r>
    </w:p>
    <w:p>
      <w:pPr>
        <w:pStyle w:val="BodyTextIndent"/>
        <w:tabs>
          <w:tab w:val="clear" w:pos="1440"/>
        </w:tabs>
        <w:spacing w:before="0" w:after="0"/>
        <w:rPr/>
      </w:pPr>
      <w:r>
        <w:rPr/>
      </w:r>
    </w:p>
    <w:p>
      <w:pPr>
        <w:pStyle w:val="Normal"/>
        <w:widowControl/>
        <w:ind w:start="720" w:end="0"/>
        <w:jc w:val="both"/>
        <w:rPr/>
      </w:pPr>
      <w:r>
        <w:rPr>
          <w:rFonts w:cs="Times New Roman" w:ascii="Times New Roman" w:hAnsi="Times New Roman"/>
          <w:sz w:val="22"/>
        </w:rPr>
        <w:t xml:space="preserve">(ii) </w:t>
      </w:r>
      <w:r>
        <w:rPr>
          <w:rFonts w:cs="Times New Roman" w:ascii="Times New Roman" w:hAnsi="Times New Roman"/>
          <w:b/>
          <w:sz w:val="22"/>
        </w:rPr>
        <w:t>Transfer of Other Eligible Credit Support and Other Equivalent Credit Support.</w:t>
      </w:r>
      <w:r>
        <w:rPr>
          <w:rFonts w:cs="Times New Roman" w:ascii="Times New Roman" w:hAnsi="Times New Roman"/>
          <w:sz w:val="22"/>
        </w:rPr>
        <w:t xml:space="preserve"> All transfers under this Annex of Other Eligible Credit Support and Other Equivalent Credit Support shall be made as follows: the Transferor shall give written instructions (including, for the avoidance of doubt, instructions given by telex, facsimile transmission or electronic messaging system) to the issuer of a Letter of Credit (the “Issuer”) to issue a Letter of Credit to the Transferee. Such transfer shall be deemed effective on receipt by the Transferee from the Issuer of the issued Letter of Credit. A Letter of Credit will be deemed transferred back to the Transferor on surrender by the Transferee of the Letter of Credit to the Transferor.</w:t>
      </w:r>
    </w:p>
    <w:p>
      <w:pPr>
        <w:pStyle w:val="Normal"/>
        <w:widowControl/>
        <w:ind w:start="720" w:end="0"/>
        <w:jc w:val="both"/>
        <w:rPr>
          <w:rFonts w:ascii="Times New Roman" w:hAnsi="Times New Roman" w:cs="Times New Roman"/>
          <w:sz w:val="22"/>
        </w:rPr>
      </w:pPr>
      <w:r>
        <w:rPr>
          <w:rFonts w:cs="Times New Roman" w:ascii="Times New Roman" w:hAnsi="Times New Roman"/>
          <w:sz w:val="22"/>
        </w:rPr>
      </w:r>
    </w:p>
    <w:p>
      <w:pPr>
        <w:pStyle w:val="Normal"/>
        <w:widowControl/>
        <w:ind w:start="720" w:end="0"/>
        <w:jc w:val="both"/>
        <w:rPr/>
      </w:pPr>
      <w:r>
        <w:rPr>
          <w:rFonts w:cs="Times New Roman" w:ascii="Times New Roman" w:hAnsi="Times New Roman"/>
          <w:sz w:val="22"/>
        </w:rPr>
        <w:t xml:space="preserve">(iii) </w:t>
      </w:r>
      <w:r>
        <w:rPr>
          <w:rFonts w:cs="Times New Roman" w:ascii="Times New Roman" w:hAnsi="Times New Roman"/>
          <w:b/>
          <w:sz w:val="22"/>
        </w:rPr>
        <w:t>Default for the purposes of Other Eligible Credit Support and Other Equivalent Credit Support.</w:t>
      </w:r>
      <w:r>
        <w:rPr>
          <w:rFonts w:cs="Times New Roman" w:ascii="Times New Roman" w:hAnsi="Times New Roman"/>
          <w:sz w:val="22"/>
        </w:rPr>
        <w:t xml:space="preserve"> The occurrence at any time with respect to a Letter of Credit of any of the following events shall constitute a Letter of Credit Default (“Letter of Credit Default”) with respect to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maintain a Credit Rating of at least “A” by S&amp;P or “A2” by Moody’s;</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fails to comply with or perform its obligations under such Letter of Credit and such failure continues after the lapse of any applicable grace period;</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Issuer disaffirms, disclaims, repudiates or rejects, in whole or in part, or challenges the validity of such Letter of Credit;</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any event analogous to an event specified in Section 5(a)(vii) of the Agreement occurs with respect to the Issuer;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fails or ceases to be in full force and effect; or</w:t>
      </w:r>
    </w:p>
    <w:p>
      <w:pPr>
        <w:pStyle w:val="Normal"/>
        <w:widowControl/>
        <w:numPr>
          <w:ilvl w:val="0"/>
          <w:numId w:val="3"/>
        </w:numPr>
        <w:spacing w:before="120" w:after="0"/>
        <w:ind w:hanging="374" w:start="1508" w:end="0"/>
        <w:jc w:val="both"/>
        <w:rPr>
          <w:rFonts w:ascii="Times New Roman" w:hAnsi="Times New Roman" w:cs="Times New Roman"/>
          <w:sz w:val="22"/>
        </w:rPr>
      </w:pPr>
      <w:r>
        <w:rPr>
          <w:rFonts w:cs="Times New Roman" w:ascii="Times New Roman" w:hAnsi="Times New Roman"/>
          <w:sz w:val="22"/>
        </w:rPr>
        <w:t>the Letter of Credit expires or terminates in accordance with the terms within the next thirty (30) calendar days.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Normal"/>
        <w:widowControl/>
        <w:ind w:start="709" w:end="0"/>
        <w:jc w:val="both"/>
        <w:rPr/>
      </w:pPr>
      <w:r>
        <w:rPr>
          <w:rFonts w:cs="Times New Roman" w:ascii="Times New Roman" w:hAnsi="Times New Roman"/>
          <w:sz w:val="22"/>
        </w:rPr>
        <w:t xml:space="preserve">(iv) </w:t>
      </w:r>
      <w:r>
        <w:rPr>
          <w:rFonts w:cs="Times New Roman" w:ascii="Times New Roman" w:hAnsi="Times New Roman"/>
          <w:b/>
          <w:sz w:val="22"/>
        </w:rPr>
        <w:t>Default.</w:t>
      </w:r>
      <w:r>
        <w:rPr>
          <w:rFonts w:cs="Times New Roman" w:ascii="Times New Roman" w:hAnsi="Times New Roman"/>
          <w:sz w:val="22"/>
        </w:rPr>
        <w:t xml:space="preserve"> For the purposes of Paragraph 6 of the Annex, the Value of Other Eligible Credit Support and/or Other Equivalent Credit Support shall be excluded from the calculation of the Value of the Credit Support Balance. To the extent the Transferee draws under any Letter of Credit the Transferor’s obligations to the Transferee shall be discharged in an amount equal to such drawings.</w:t>
      </w:r>
    </w:p>
    <w:p>
      <w:pPr>
        <w:pStyle w:val="Normal"/>
        <w:widowControl/>
        <w:ind w:start="709" w:end="0"/>
        <w:jc w:val="both"/>
        <w:rPr>
          <w:rFonts w:ascii="Times New Roman" w:hAnsi="Times New Roman" w:cs="Times New Roman"/>
          <w:sz w:val="22"/>
        </w:rPr>
      </w:pPr>
      <w:r>
        <w:rPr>
          <w:rFonts w:cs="Times New Roman" w:ascii="Times New Roman" w:hAnsi="Times New Roman"/>
          <w:sz w:val="22"/>
        </w:rPr>
      </w:r>
    </w:p>
    <w:p>
      <w:pPr>
        <w:pStyle w:val="BodyTextIndent2"/>
        <w:rPr/>
      </w:pPr>
      <w:r>
        <w:rPr/>
        <w:t xml:space="preserve">(v) </w:t>
      </w:r>
      <w:r>
        <w:rPr>
          <w:b/>
        </w:rPr>
        <w:t xml:space="preserve">Definitions. </w:t>
      </w:r>
      <w:r>
        <w:rPr/>
        <w:t>The definition of “Value” in Paragraph 10 is amended by inserting at the end thereof the following Subparagraph (iii):</w:t>
      </w:r>
    </w:p>
    <w:p>
      <w:pPr>
        <w:pStyle w:val="BodyTextIndent2"/>
        <w:rPr/>
      </w:pPr>
      <w:r>
        <w:rPr/>
      </w:r>
    </w:p>
    <w:p>
      <w:pPr>
        <w:pStyle w:val="BodyTextIndent2"/>
        <w:ind w:hanging="11" w:start="1134" w:end="0"/>
        <w:rPr/>
      </w:pPr>
      <w:r>
        <w:rPr/>
        <w:t>“</w:t>
      </w:r>
      <w:r>
        <w:rPr/>
        <w:t>(iii)</w:t>
        <w:tab/>
        <w:t>items that are comprised in the Credit Support Balance that are Other Eligible Credit Support, the stated amount thereunder then available to be unconditionally drawn by the Transferee, multiplied by the applicable Valuation Percentage.”</w:t>
      </w:r>
    </w:p>
    <w:p>
      <w:pPr>
        <w:pStyle w:val="BodyTextIndent2"/>
        <w:ind w:start="720" w:end="0"/>
        <w:rPr/>
      </w:pPr>
      <w:r>
        <w:rPr/>
      </w:r>
    </w:p>
    <w:p>
      <w:pPr>
        <w:pStyle w:val="BodyTextIndent2"/>
        <w:ind w:start="720" w:end="0"/>
        <w:rPr/>
      </w:pPr>
      <w:r>
        <w:rPr/>
        <w:t xml:space="preserve">(vi) Letters of Credit shall be issued and maintained in accordance with the provisions set forth in </w:t>
      </w:r>
      <w:r>
        <w:rPr>
          <w:u w:val="single"/>
        </w:rPr>
        <w:t>Exhibit A</w:t>
      </w:r>
      <w:r>
        <w:rPr/>
        <w:t xml:space="preserve"> and </w:t>
      </w:r>
      <w:r>
        <w:rPr>
          <w:u w:val="single"/>
        </w:rPr>
        <w:t>Schedule 1</w:t>
      </w:r>
      <w:r>
        <w:rPr/>
        <w:t xml:space="preserve"> attached hereto.</w:t>
      </w:r>
    </w:p>
    <w:p>
      <w:pPr>
        <w:sectPr>
          <w:headerReference w:type="default" r:id="rId2"/>
          <w:footerReference w:type="default" r:id="rId3"/>
          <w:type w:val="nextPage"/>
          <w:pgSz w:w="11906" w:h="16838"/>
          <w:pgMar w:left="1077" w:right="1077" w:gutter="0" w:header="426" w:top="1135" w:footer="490" w:bottom="1440"/>
          <w:pgNumType w:start="11" w:fmt="decimal"/>
          <w:formProt w:val="false"/>
          <w:textDirection w:val="lrTb"/>
          <w:docGrid w:type="default" w:linePitch="360" w:charSpace="0"/>
        </w:sectPr>
        <w:pStyle w:val="BodyTextIndent2"/>
        <w:ind w:start="720" w:end="0"/>
        <w:rPr/>
      </w:pPr>
      <w:r>
        <w:rPr/>
        <w:t xml:space="preserve"> </w:t>
      </w:r>
    </w:p>
    <w:p>
      <w:pPr>
        <w:pStyle w:val="Normal"/>
        <w:widowControl/>
        <w:jc w:val="center"/>
        <w:rPr>
          <w:rFonts w:ascii="Times New Roman" w:hAnsi="Times New Roman" w:cs="Times New Roman"/>
          <w:b/>
          <w:sz w:val="22"/>
        </w:rPr>
      </w:pPr>
      <w:r>
        <w:rPr>
          <w:rFonts w:cs="Times New Roman" w:ascii="Times New Roman" w:hAnsi="Times New Roman"/>
          <w:b/>
          <w:sz w:val="22"/>
          <w:u w:val="single"/>
        </w:rPr>
        <w:t>EXHIBIT A</w:t>
      </w:r>
    </w:p>
    <w:p>
      <w:pPr>
        <w:pStyle w:val="Normal"/>
        <w:widowControl/>
        <w:jc w:val="center"/>
        <w:rPr>
          <w:rFonts w:ascii="Times New Roman" w:hAnsi="Times New Roman" w:cs="Times New Roman"/>
          <w:b/>
          <w:sz w:val="22"/>
        </w:rPr>
      </w:pPr>
      <w:r>
        <w:rPr>
          <w:rFonts w:cs="Times New Roman" w:ascii="Times New Roman" w:hAnsi="Times New Roman"/>
          <w:b/>
          <w:sz w:val="22"/>
        </w:rPr>
        <w:t>to Paragraph 11</w:t>
      </w:r>
    </w:p>
    <w:p>
      <w:pPr>
        <w:pStyle w:val="Normal"/>
        <w:widowControl/>
        <w:jc w:val="center"/>
        <w:rPr>
          <w:rFonts w:ascii="Times New Roman" w:hAnsi="Times New Roman" w:cs="Times New Roman"/>
          <w:sz w:val="22"/>
        </w:rPr>
      </w:pPr>
      <w:r>
        <w:rPr>
          <w:rFonts w:cs="Times New Roman" w:ascii="Times New Roman" w:hAnsi="Times New Roman"/>
          <w:b/>
          <w:sz w:val="22"/>
        </w:rPr>
        <w:t>of Annex A</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b/>
          <w:sz w:val="22"/>
        </w:rPr>
        <w:t>LETTER OF CREDIT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jc w:val="both"/>
        <w:rPr>
          <w:rFonts w:ascii="Times New Roman" w:hAnsi="Times New Roman" w:cs="Times New Roman"/>
          <w:sz w:val="22"/>
        </w:rPr>
      </w:pPr>
      <w:r>
        <w:rPr>
          <w:rFonts w:cs="Times New Roman" w:ascii="Times New Roman" w:hAnsi="Times New Roman"/>
          <w:sz w:val="22"/>
        </w:rPr>
        <w:t>Other Eligible Credit Support or Other Equivalent Credit Support provided by one party (“X”) for the benefit of the other (“Y”) in the form of a Letter of Credit shall be subject to the following provisions.</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Any Letter of Credit shall be delivered by the Issuer to such address as Y shall specify and shall be maintained for the benefit of Y or its designee.  X or the Issuer of the Letter of Credit shall:</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 xml:space="preserve">renew or cause the renewal of each outstanding Letter of Credit on a timely basis as provided in the relevant Letter of Credit; </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 xml:space="preserve">if the Issuer of an outstanding Letter of Credit has indicated its intent not to renew such Letter of Credit, provide a substitute Letter of Credit at least twenty (20) Local Business Days prior to the expiration of the outstanding Letter of Credit; and </w:t>
      </w:r>
    </w:p>
    <w:p>
      <w:pPr>
        <w:pStyle w:val="Normal"/>
        <w:widowControl/>
        <w:numPr>
          <w:ilvl w:val="1"/>
          <w:numId w:val="4"/>
        </w:numPr>
        <w:tabs>
          <w:tab w:val="clear" w:pos="720"/>
          <w:tab w:val="left" w:pos="1134" w:leader="none"/>
        </w:tabs>
        <w:ind w:hanging="0" w:start="709" w:end="0"/>
        <w:jc w:val="both"/>
        <w:rPr>
          <w:rFonts w:ascii="Times New Roman" w:hAnsi="Times New Roman" w:cs="Times New Roman"/>
          <w:sz w:val="22"/>
        </w:rPr>
      </w:pPr>
      <w:r>
        <w:rPr>
          <w:rFonts w:cs="Times New Roman" w:ascii="Times New Roman" w:hAnsi="Times New Roman"/>
          <w:sz w:val="22"/>
        </w:rPr>
        <w:t>if the Issuer of a Letter of Credit shall fail to honour Y’s properly documented request to draw on an outstanding Letter of Credit, provide for the benefit of Y a substitute Letter of Credit issued by an Issuer acceptable to Y, other than the Issuer failing to honour the outstanding Letter of Credit, within two (2) Local Business Days after such refusal.</w:t>
      </w:r>
    </w:p>
    <w:p>
      <w:pPr>
        <w:pStyle w:val="Normal"/>
        <w:widowControl/>
        <w:ind w:start="567"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Upon the occurrence of a Letter of Credit Default, X agrees to cause a substitute Letter of Credit to be issued to Y on or before the second Local Business Day after written demand by Y, or on or before the fifth Local Business Day without the requirement for any demand if only Paragraph 11(i)(iii)(A) applies).</w:t>
      </w:r>
    </w:p>
    <w:p>
      <w:pPr>
        <w:pStyle w:val="Normal"/>
        <w:widowControl/>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As one method of providing additional Other Eligible Credit Support or Other Equivalent Credit Support, X may increase the amount of an outstanding Letter of Credit, or establish one or more additional Letters of Credit.</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 w:val="left" w:pos="1134" w:leader="none"/>
        </w:tabs>
        <w:ind w:hanging="0" w:start="284" w:end="0"/>
        <w:jc w:val="both"/>
        <w:rPr>
          <w:rFonts w:ascii="Times New Roman" w:hAnsi="Times New Roman" w:cs="Times New Roman"/>
          <w:sz w:val="22"/>
        </w:rPr>
      </w:pPr>
      <w:r>
        <w:rPr>
          <w:rFonts w:cs="Times New Roman" w:ascii="Times New Roman" w:hAnsi="Times New Roman"/>
          <w:sz w:val="22"/>
        </w:rPr>
        <w:t>(i)</w:t>
        <w:tab/>
        <w:t>A Letter of Credit shall provide that Y may draw upon the Letter of Credit in an amount that is equal to all amounts that are due and owing from X but have not been paid to Y within the time allowed for such payments under this Agreement.  A Letter of Credit shall provide that a drawing may be made on such Letter of Credit upon submission to the relevant Issuer of one or more certificates of Y in accordance with the specific requirements of such Letter of Credit.</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Justified"/>
        <w:widowControl/>
        <w:tabs>
          <w:tab w:val="clear" w:pos="720"/>
          <w:tab w:val="left" w:pos="709" w:leader="none"/>
          <w:tab w:val="left" w:pos="1134" w:leader="none"/>
        </w:tabs>
        <w:spacing w:before="0" w:after="0"/>
        <w:ind w:start="284" w:end="0"/>
        <w:rPr>
          <w:rFonts w:ascii="Times New Roman" w:hAnsi="Times New Roman" w:cs="Times New Roman"/>
        </w:rPr>
      </w:pPr>
      <w:r>
        <w:rPr>
          <w:rFonts w:cs="Times New Roman" w:ascii="Times New Roman" w:hAnsi="Times New Roman"/>
        </w:rPr>
        <w:tab/>
        <w:t>(ii)</w:t>
        <w:tab/>
        <w:t>If X shall fail to renew, substitute, or sufficiently increase the amount of an outstanding Letter of Credit (as the case may be), or establish one or more additional Letters of Credit, or otherwise provide sufficient Eligible Credit Support or Other Eligible Credit Support, then Y may draw on the entire, undrawn portion of any outstanding Letter of Credit upon submission to the Issuer of such Letter of Credit of one or more certificates in accordance with the specific requirements of such Letter of Credit.  Cash proceeds received from drawing upon the Letter of Credit shall be deemed Eligible Credit Support and shall be maintained in accordance with this Annex.  Notwithstanding Y’s receipt of cash under the Letter of Credit, X shall remain liable to Y for any failure to transfer sufficient Eligible Credit Support or Other Eligible Credit Support to Y in accordance with the terms of this Annex.</w:t>
      </w:r>
    </w:p>
    <w:p>
      <w:pPr>
        <w:pStyle w:val="Normal"/>
        <w:widowControl/>
        <w:tabs>
          <w:tab w:val="clear" w:pos="720"/>
          <w:tab w:val="left" w:pos="709" w:leader="none"/>
        </w:tabs>
        <w:jc w:val="both"/>
        <w:rPr>
          <w:rFonts w:ascii="Times New Roman" w:hAnsi="Times New Roman" w:cs="Times New Roman"/>
          <w:sz w:val="22"/>
        </w:rPr>
      </w:pPr>
      <w:r>
        <w:rPr>
          <w:rFonts w:cs="Times New Roman" w:ascii="Times New Roman" w:hAnsi="Times New Roman"/>
          <w:sz w:val="22"/>
        </w:rPr>
      </w:r>
    </w:p>
    <w:p>
      <w:pPr>
        <w:pStyle w:val="Justified"/>
        <w:widowControl/>
        <w:numPr>
          <w:ilvl w:val="0"/>
          <w:numId w:val="4"/>
        </w:numPr>
        <w:tabs>
          <w:tab w:val="clear" w:pos="720"/>
          <w:tab w:val="left" w:pos="709" w:leader="none"/>
        </w:tabs>
        <w:spacing w:before="0" w:after="0"/>
        <w:ind w:hanging="0" w:start="284" w:end="0"/>
        <w:rPr>
          <w:rFonts w:ascii="Times New Roman" w:hAnsi="Times New Roman" w:cs="Times New Roman"/>
        </w:rPr>
      </w:pPr>
      <w:r>
        <w:rPr>
          <w:rFonts w:cs="Times New Roman" w:ascii="Times New Roman" w:hAnsi="Times New Roman"/>
        </w:rPr>
        <w:t>If a party’s Credit Support Provider shall cause a Letter of Credit to be issued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cause a Letter of Credit to be issued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Upon or at any time after the occurrence or deemed occurrence of an Early Termination Date as a result of an Event of Default or a Termination Event and the failure of X to make all payments due and owing to Y in accordance with the terms of this Agreement, Y may draw on any outstanding Letter of Credit up to an amount equal to such amounts owing to it.  X shall remain liable for any amounts owing to Y and remaining unpaid after the application of the amounts so drawn by Y.</w:t>
      </w:r>
    </w:p>
    <w:p>
      <w:pPr>
        <w:pStyle w:val="Normal"/>
        <w:widowControl/>
        <w:tabs>
          <w:tab w:val="clear" w:pos="720"/>
          <w:tab w:val="left" w:pos="709" w:leader="none"/>
        </w:tabs>
        <w:ind w:start="284" w:end="0"/>
        <w:jc w:val="both"/>
        <w:rPr>
          <w:rFonts w:ascii="Times New Roman" w:hAnsi="Times New Roman" w:cs="Times New Roman"/>
          <w:sz w:val="22"/>
        </w:rPr>
      </w:pPr>
      <w:r>
        <w:rPr>
          <w:rFonts w:cs="Times New Roman" w:ascii="Times New Roman" w:hAnsi="Times New Roman"/>
          <w:sz w:val="22"/>
        </w:rPr>
      </w:r>
    </w:p>
    <w:p>
      <w:pPr>
        <w:sectPr>
          <w:headerReference w:type="default" r:id="rId4"/>
          <w:headerReference w:type="first" r:id="rId5"/>
          <w:footerReference w:type="default" r:id="rId6"/>
          <w:footerReference w:type="first" r:id="rId7"/>
          <w:type w:val="nextPage"/>
          <w:pgSz w:w="11906" w:h="16838"/>
          <w:pgMar w:left="1077" w:right="1077" w:gutter="0" w:header="720" w:top="1440" w:footer="720" w:bottom="1440"/>
          <w:pgNumType w:start="1" w:fmt="decimal"/>
          <w:formProt w:val="false"/>
          <w:textDirection w:val="lrTb"/>
          <w:docGrid w:type="default" w:linePitch="360" w:charSpace="0"/>
        </w:sectPr>
        <w:pStyle w:val="Normal"/>
        <w:widowControl/>
        <w:numPr>
          <w:ilvl w:val="0"/>
          <w:numId w:val="4"/>
        </w:numPr>
        <w:tabs>
          <w:tab w:val="clear" w:pos="720"/>
          <w:tab w:val="left" w:pos="709" w:leader="none"/>
        </w:tabs>
        <w:ind w:hanging="0" w:start="284" w:end="0"/>
        <w:jc w:val="both"/>
        <w:rPr>
          <w:rFonts w:ascii="Times New Roman" w:hAnsi="Times New Roman" w:cs="Times New Roman"/>
          <w:sz w:val="22"/>
        </w:rPr>
      </w:pPr>
      <w:r>
        <w:rPr>
          <w:rFonts w:cs="Times New Roman" w:ascii="Times New Roman" w:hAnsi="Times New Roman"/>
          <w:sz w:val="22"/>
        </w:rPr>
        <w:t xml:space="preserve">The provisions of this </w:t>
      </w:r>
      <w:r>
        <w:rPr>
          <w:rFonts w:cs="Times New Roman" w:ascii="Times New Roman" w:hAnsi="Times New Roman"/>
          <w:sz w:val="22"/>
          <w:u w:val="single"/>
        </w:rPr>
        <w:t>Exhibit A</w:t>
      </w:r>
      <w:r>
        <w:rPr>
          <w:rFonts w:cs="Times New Roman" w:ascii="Times New Roman" w:hAnsi="Times New Roman"/>
          <w:sz w:val="22"/>
        </w:rPr>
        <w:t xml:space="preserve"> shall constitute an agreement for all purposes of this Agreement and this Annex, including Section 5(a)(iii) of this Agreement.</w:t>
      </w:r>
    </w:p>
    <w:p>
      <w:pPr>
        <w:pStyle w:val="Normal"/>
        <w:widowControl/>
        <w:jc w:val="center"/>
        <w:rPr>
          <w:rFonts w:ascii="Times New Roman" w:hAnsi="Times New Roman" w:cs="Times New Roman"/>
          <w:sz w:val="22"/>
        </w:rPr>
      </w:pPr>
      <w:r>
        <w:rPr>
          <w:rFonts w:cs="Times New Roman" w:ascii="Times New Roman" w:hAnsi="Times New Roman"/>
          <w:b/>
          <w:sz w:val="22"/>
          <w:u w:val="single"/>
        </w:rPr>
        <w:t>SCHEDULE 1</w:t>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jc w:val="center"/>
        <w:rPr>
          <w:rFonts w:ascii="Times New Roman" w:hAnsi="Times New Roman" w:cs="Times New Roman"/>
          <w:sz w:val="22"/>
        </w:rPr>
      </w:pPr>
      <w:r>
        <w:rPr>
          <w:rFonts w:cs="Times New Roman" w:ascii="Times New Roman" w:hAnsi="Times New Roman"/>
          <w:sz w:val="22"/>
        </w:rPr>
        <w:t>IRREVOCABLE STANDBY LETTER OF CREDIT FORMAT</w:t>
      </w:r>
    </w:p>
    <w:p>
      <w:pPr>
        <w:pStyle w:val="Normal"/>
        <w:widowControl/>
        <w:jc w:val="center"/>
        <w:rPr>
          <w:rFonts w:ascii="Times New Roman" w:hAnsi="Times New Roman" w:cs="Times New Roman"/>
          <w:sz w:val="22"/>
        </w:rPr>
      </w:pPr>
      <w:r>
        <w:rPr>
          <w:rFonts w:cs="Times New Roman" w:ascii="Times New Roman" w:hAnsi="Times New Roman"/>
          <w:sz w:val="22"/>
        </w:rPr>
        <w:t xml:space="preserve">DATE OF ISSUANCE:  </w:t>
      </w:r>
      <w:r>
        <w:rPr>
          <w:rFonts w:cs="Times New Roman" w:ascii="Times New Roman" w:hAnsi="Times New Roman"/>
          <w:sz w:val="22"/>
          <w:u w:val="single"/>
        </w:rPr>
        <w:tab/>
        <w:tab/>
        <w:tab/>
      </w:r>
    </w:p>
    <w:p>
      <w:pPr>
        <w:pStyle w:val="Normal"/>
        <w:widowControl/>
        <w:jc w:val="center"/>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[Address]</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rPr>
          <w:rFonts w:ascii="Times New Roman" w:hAnsi="Times New Roman" w:cs="Times New Roman"/>
          <w:sz w:val="22"/>
        </w:rPr>
      </w:pPr>
      <w:r>
        <w:rPr>
          <w:rFonts w:cs="Times New Roman" w:ascii="Times New Roman" w:hAnsi="Times New Roman"/>
          <w:sz w:val="22"/>
        </w:rPr>
        <w:tab/>
        <w:t>Re:  Credit No. _______________</w:t>
      </w:r>
    </w:p>
    <w:p>
      <w:pPr>
        <w:pStyle w:val="Normal"/>
        <w:widowControl/>
        <w:rPr>
          <w:rFonts w:ascii="Times New Roman" w:hAnsi="Times New Roman" w:cs="Times New Roman"/>
          <w:sz w:val="22"/>
        </w:rPr>
      </w:pPr>
      <w:r>
        <w:rPr>
          <w:rFonts w:cs="Times New Roman" w:ascii="Times New Roman" w:hAnsi="Times New Roman"/>
          <w:sz w:val="22"/>
        </w:rPr>
      </w:r>
    </w:p>
    <w:p>
      <w:pPr>
        <w:pStyle w:val="Normal"/>
        <w:widowControl/>
        <w:jc w:val="both"/>
        <w:rPr/>
      </w:pPr>
      <w:r>
        <w:rPr>
          <w:rFonts w:cs="Times New Roman" w:ascii="Times New Roman" w:hAnsi="Times New Roman"/>
          <w:sz w:val="22"/>
        </w:rPr>
        <w:tab/>
        <w:t>We hereby establish our irrevocable standby letter of credit in your favour for the account of _______________________ (the “Account Party”), for the aggregate amount not exceeding ______________________ United States Dollars ($___________), available to you at sight upon demand at our counters at (</w:t>
      </w:r>
      <w:r>
        <w:rPr>
          <w:rFonts w:cs="Times New Roman" w:ascii="Times New Roman" w:hAnsi="Times New Roman"/>
          <w:sz w:val="22"/>
          <w:u w:val="single"/>
        </w:rPr>
        <w:t>Location</w:t>
      </w:r>
      <w:r>
        <w:rPr>
          <w:rFonts w:cs="Times New Roman" w:ascii="Times New Roman" w:hAnsi="Times New Roman"/>
          <w:sz w:val="22"/>
        </w:rPr>
        <w:t>) on or before the expiration hereof against presentation to us of one or more of the following statements, dated and signed by a representative of the beneficiary:</w:t>
      </w:r>
    </w:p>
    <w:p>
      <w:pPr>
        <w:pStyle w:val="Normal"/>
        <w:widowControl/>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1.</w:t>
        <w:tab/>
        <w:t>“Account Party has not provided a substitute letter of credit or alternate security in accordance with the terms and provisions (including any applicable notice or grace period or both) of the ISDA Master Agreement dated as of _____________, 19___, between beneficiary and Account Party, as the same may have been amended (the “Master Agreement”) and/or this letter of credit has twenty (20) days or less until expiry”.</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tab/>
        <w:t>or</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ind w:hanging="720" w:start="720" w:end="0"/>
        <w:jc w:val="both"/>
        <w:rPr>
          <w:rFonts w:ascii="Times New Roman" w:hAnsi="Times New Roman" w:cs="Times New Roman"/>
          <w:sz w:val="22"/>
        </w:rPr>
      </w:pPr>
      <w:r>
        <w:rPr>
          <w:rFonts w:cs="Times New Roman" w:ascii="Times New Roman" w:hAnsi="Times New Roman"/>
          <w:sz w:val="22"/>
        </w:rPr>
        <w:t>2.</w:t>
        <w:tab/>
        <w:t>“Account Party has failed to pay to the beneficiary in accordance with the terms and provisions of the Master Agreement”.</w:t>
      </w:r>
    </w:p>
    <w:p>
      <w:pPr>
        <w:pStyle w:val="Normal"/>
        <w:widowControl/>
        <w:tabs>
          <w:tab w:val="left" w:pos="720" w:leader="none"/>
        </w:tabs>
        <w:ind w:hanging="1440" w:start="1440" w:end="0"/>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The amount which may be drawn by you under this letter of credit shall be automatically reduced by the amount of any drawings honoured by us.  Multiple drawings are permitted hereunder.</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We hereby agree with you that documents drawn under and in compliance with the terms of this Letter of Credit shall be duly honored upon presentation as specified.</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shall be governed by the Uniform Customs and Practices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r>
    </w:p>
    <w:p>
      <w:pPr>
        <w:pStyle w:val="Normal"/>
        <w:widowControl/>
        <w:tabs>
          <w:tab w:val="left" w:pos="720" w:leader="none"/>
        </w:tabs>
        <w:jc w:val="both"/>
        <w:rPr>
          <w:rFonts w:ascii="Times New Roman" w:hAnsi="Times New Roman" w:cs="Times New Roman"/>
          <w:sz w:val="22"/>
        </w:rPr>
      </w:pPr>
      <w:r>
        <w:rPr>
          <w:rFonts w:cs="Times New Roman" w:ascii="Times New Roman" w:hAnsi="Times New Roman"/>
          <w:sz w:val="22"/>
        </w:rPr>
        <w:tab/>
        <w:t>This Letter of Credit is irrevocable.</w:t>
      </w:r>
    </w:p>
    <w:p>
      <w:pPr>
        <w:pStyle w:val="Normal"/>
        <w:widowControl/>
        <w:tabs>
          <w:tab w:val="left" w:pos="720" w:leader="none"/>
        </w:tabs>
        <w:rPr>
          <w:rFonts w:ascii="Times New Roman" w:hAnsi="Times New Roman" w:cs="Times New Roman"/>
          <w:sz w:val="22"/>
        </w:rPr>
      </w:pPr>
      <w:r>
        <w:rPr>
          <w:rFonts w:cs="Times New Roman" w:ascii="Times New Roman" w:hAnsi="Times New Roman"/>
          <w:sz w:val="22"/>
        </w:rPr>
      </w:r>
    </w:p>
    <w:p>
      <w:pPr>
        <w:pStyle w:val="Normal"/>
        <w:widowControl/>
        <w:tabs>
          <w:tab w:val="clear" w:pos="720"/>
          <w:tab w:val="left" w:pos="4320" w:leader="none"/>
          <w:tab w:val="left" w:pos="5040" w:leader="none"/>
          <w:tab w:val="left" w:pos="5760" w:leader="none"/>
        </w:tabs>
        <w:ind w:start="5040" w:end="0"/>
        <w:rPr>
          <w:rFonts w:ascii="Times New Roman" w:hAnsi="Times New Roman" w:cs="Times New Roman"/>
          <w:sz w:val="22"/>
        </w:rPr>
      </w:pPr>
      <w:r>
        <w:rPr>
          <w:rFonts w:cs="Times New Roman" w:ascii="Times New Roman" w:hAnsi="Times New Roman"/>
          <w:sz w:val="22"/>
        </w:rPr>
        <w:t>[BANK SIGNATURE]</w:t>
      </w:r>
    </w:p>
    <w:sectPr>
      <w:headerReference w:type="default" r:id="rId8"/>
      <w:headerReference w:type="first" r:id="rId9"/>
      <w:footerReference w:type="default" r:id="rId10"/>
      <w:footerReference w:type="first" r:id="rId11"/>
      <w:type w:val="nextPage"/>
      <w:pgSz w:w="11906" w:h="16838"/>
      <w:pgMar w:left="1077" w:right="1077" w:gutter="0" w:header="568" w:top="993" w:footer="430" w:bottom="709"/>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Dutch Roman   Roman 8) (FW">
    <w:altName w:val=" Por"/>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Fonts w:ascii="Times New Roman" w:hAnsi="Times New Roman" w:cs="Times New Roman"/>
        <w:sz w:val="16"/>
      </w:rPr>
    </w:pPr>
    <w:r>
      <w:rPr>
        <w:rFonts w:cs="Times New Roman" w:ascii="Times New Roman" w:hAnsi="Times New Roman"/>
        <w:sz w:val="16"/>
      </w:rPr>
      <w:t>S:\Legal\petron-csa (6Sept99)</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jc w:val="center"/>
      <w:rPr>
        <w:rFonts w:ascii="Times New Roman" w:hAnsi="Times New Roman" w:cs="Times New Roman"/>
        <w:sz w:val="24"/>
      </w:rPr>
    </w:pPr>
    <w:r>
      <w:rPr>
        <w:rFonts w:cs="Times New Roman" w:ascii="Times New Roman" w:hAnsi="Times New Roman"/>
        <w:sz w:val="24"/>
      </w:rPr>
      <w:t>Exhibit A</w:t>
    </w:r>
  </w:p>
  <w:p>
    <w:pPr>
      <w:pStyle w:val="Normal"/>
      <w:widowControl/>
      <w:jc w:val="center"/>
      <w:rPr>
        <w:rFonts w:ascii="Times New Roman" w:hAnsi="Times New Roman" w:cs="Times New Roman"/>
        <w:sz w:val="24"/>
      </w:rPr>
    </w:pPr>
    <w:r>
      <w:rPr>
        <w:rFonts w:cs="Times New Roman" w:ascii="Times New Roman" w:hAnsi="Times New Roman"/>
        <w:sz w:val="24"/>
      </w:rPr>
      <w:t>to Paragraph 11</w:t>
    </w:r>
  </w:p>
  <w:p>
    <w:pPr>
      <w:pStyle w:val="Normal"/>
      <w:widowControl/>
      <w:jc w:val="center"/>
      <w:rPr>
        <w:rFonts w:ascii="Times New Roman" w:hAnsi="Times New Roman" w:cs="Times New Roman"/>
        <w:sz w:val="24"/>
      </w:rPr>
    </w:pPr>
    <w:r>
      <w:rPr>
        <w:rFonts w:cs="Times New Roman" w:ascii="Times New Roman" w:hAnsi="Times New Roman"/>
        <w:sz w:val="24"/>
      </w:rPr>
      <w:t>of Annex A</w:t>
    </w:r>
  </w:p>
  <w:p>
    <w:pPr>
      <w:pStyle w:val="Footer"/>
      <w:widowControl/>
      <w:jc w:val="center"/>
      <w:rPr/>
    </w:pPr>
    <w:r>
      <w:rPr>
        <w:rFonts w:cs="Times New Roman" w:ascii="Times New Roman" w:hAnsi="Times New Roman"/>
        <w:sz w:val="24"/>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16"/>
        <w:lang w:val="en-GB"/>
      </w:rPr>
    </w:pPr>
    <w:r>
      <w:rPr>
        <w:rFonts w:cs="Times New Roman" w:ascii="Times New Roman" w:hAnsi="Times New Roman"/>
        <w:b/>
        <w:sz w:val="16"/>
        <w:lang w:val="en-GB"/>
      </w:rPr>
      <w:t>DRAFT AGREEMENT</w:t>
    </w:r>
  </w:p>
  <w:p>
    <w:pPr>
      <w:pStyle w:val="Header"/>
      <w:jc w:val="end"/>
      <w:rPr>
        <w:rFonts w:ascii="Times New Roman" w:hAnsi="Times New Roman" w:cs="Times New Roman"/>
        <w:b/>
        <w:sz w:val="16"/>
        <w:lang w:val="en-GB"/>
      </w:rPr>
    </w:pPr>
    <w:r>
      <w:rPr>
        <w:rFonts w:cs="Times New Roman" w:ascii="Times New Roman" w:hAnsi="Times New Roman"/>
        <w:b/>
        <w:sz w:val="16"/>
        <w:lang w:val="en-GB"/>
      </w:rPr>
      <w:t>DATED 6 SEPTEMBER  1999</w:t>
    </w:r>
  </w:p>
  <w:p>
    <w:pPr>
      <w:pStyle w:val="Header"/>
      <w:jc w:val="end"/>
      <w:rPr>
        <w:rFonts w:ascii="Times New Roman" w:hAnsi="Times New Roman" w:cs="Times New Roman"/>
        <w:b/>
        <w:sz w:val="16"/>
        <w:lang w:val="en-GB"/>
      </w:rPr>
    </w:pPr>
    <w:r>
      <w:rPr>
        <w:rFonts w:cs="Times New Roman" w:ascii="Times New Roman" w:hAnsi="Times New Roman"/>
        <w:b/>
        <w:sz w:val="16"/>
        <w:lang w:val="en-GB"/>
      </w:rPr>
      <w:t>FOR DISCUSSION ONLY</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16"/>
        <w:lang w:val="en-GB"/>
      </w:rPr>
    </w:pPr>
    <w:r>
      <w:rPr>
        <w:rFonts w:cs="Times New Roman" w:ascii="Times New Roman" w:hAnsi="Times New Roman"/>
        <w:b/>
        <w:sz w:val="16"/>
        <w:lang w:val="en-GB"/>
      </w:rPr>
      <w:t>DRAFT AGREEMENT</w:t>
    </w:r>
  </w:p>
  <w:p>
    <w:pPr>
      <w:pStyle w:val="Header"/>
      <w:jc w:val="end"/>
      <w:rPr>
        <w:rFonts w:ascii="Times New Roman" w:hAnsi="Times New Roman" w:cs="Times New Roman"/>
        <w:b/>
        <w:sz w:val="16"/>
        <w:lang w:val="en-GB"/>
      </w:rPr>
    </w:pPr>
    <w:r>
      <w:rPr>
        <w:rFonts w:cs="Times New Roman" w:ascii="Times New Roman" w:hAnsi="Times New Roman"/>
        <w:b/>
        <w:sz w:val="16"/>
        <w:lang w:val="en-GB"/>
      </w:rPr>
      <w:t>DATED 6 SEPTEMBER  1999</w:t>
    </w:r>
  </w:p>
  <w:p>
    <w:pPr>
      <w:pStyle w:val="Header"/>
      <w:jc w:val="end"/>
      <w:rPr>
        <w:rFonts w:ascii="Times New Roman" w:hAnsi="Times New Roman" w:cs="Times New Roman"/>
        <w:b/>
        <w:sz w:val="16"/>
        <w:lang w:val="en-GB"/>
      </w:rPr>
    </w:pPr>
    <w:r>
      <w:rPr>
        <w:rFonts w:cs="Times New Roman" w:ascii="Times New Roman" w:hAnsi="Times New Roman"/>
        <w:b/>
        <w:sz w:val="16"/>
        <w:lang w:val="en-GB"/>
      </w:rPr>
      <w:t>FOR DISCUSSION ONLY</w:t>
    </w:r>
  </w:p>
  <w:p>
    <w:pPr>
      <w:pStyle w:val="Header"/>
      <w:widowControl/>
      <w:jc w:val="end"/>
      <w:rPr>
        <w:rFonts w:ascii="Times New Roman" w:hAnsi="Times New Roman" w:cs="Times New Roman"/>
        <w:b/>
        <w:sz w:val="16"/>
        <w:lang w:val="en-GB"/>
      </w:rPr>
    </w:pPr>
    <w:r>
      <w:rPr>
        <w:rFonts w:cs="Times New Roman" w:ascii="Times New Roman" w:hAnsi="Times New Roman"/>
        <w:b/>
        <w:sz w:val="16"/>
        <w:lang w:val="en-G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Times New Roman" w:hAnsi="Times New Roman" w:cs="Times New Roman"/>
        <w:b/>
        <w:sz w:val="16"/>
        <w:lang w:val="en-GB"/>
      </w:rPr>
    </w:pPr>
    <w:r>
      <w:rPr>
        <w:rFonts w:cs="Times New Roman" w:ascii="Times New Roman" w:hAnsi="Times New Roman"/>
        <w:b/>
        <w:sz w:val="16"/>
        <w:lang w:val="en-GB"/>
      </w:rPr>
      <w:t>DRAFT AGREEMENT</w:t>
    </w:r>
  </w:p>
  <w:p>
    <w:pPr>
      <w:pStyle w:val="Header"/>
      <w:jc w:val="end"/>
      <w:rPr>
        <w:rFonts w:ascii="Times New Roman" w:hAnsi="Times New Roman" w:cs="Times New Roman"/>
        <w:b/>
        <w:sz w:val="16"/>
        <w:lang w:val="en-GB"/>
      </w:rPr>
    </w:pPr>
    <w:r>
      <w:rPr>
        <w:rFonts w:cs="Times New Roman" w:ascii="Times New Roman" w:hAnsi="Times New Roman"/>
        <w:b/>
        <w:sz w:val="16"/>
        <w:lang w:val="en-GB"/>
      </w:rPr>
      <w:t>DATED 6 SEPTEMBER  1999</w:t>
    </w:r>
  </w:p>
  <w:p>
    <w:pPr>
      <w:pStyle w:val="Header"/>
      <w:jc w:val="end"/>
      <w:rPr>
        <w:rFonts w:ascii="Times New Roman" w:hAnsi="Times New Roman" w:cs="Times New Roman"/>
        <w:b/>
        <w:sz w:val="16"/>
        <w:lang w:val="en-GB"/>
      </w:rPr>
    </w:pPr>
    <w:r>
      <w:rPr>
        <w:rFonts w:cs="Times New Roman" w:ascii="Times New Roman" w:hAnsi="Times New Roman"/>
        <w:b/>
        <w:sz w:val="16"/>
        <w:lang w:val="en-GB"/>
      </w:rPr>
      <w:t>FOR DISCUSSION ONLY</w:t>
    </w:r>
  </w:p>
  <w:p>
    <w:pPr>
      <w:pStyle w:val="Header"/>
      <w:widowControl/>
      <w:jc w:val="end"/>
      <w:rPr>
        <w:rFonts w:ascii="Times New Roman" w:hAnsi="Times New Roman" w:cs="Times New Roman"/>
        <w:b/>
        <w:sz w:val="16"/>
        <w:lang w:val="en-GB"/>
      </w:rPr>
    </w:pPr>
    <w:r>
      <w:rPr>
        <w:rFonts w:cs="Times New Roman" w:ascii="Times New Roman" w:hAnsi="Times New Roman"/>
        <w:b/>
        <w:sz w:val="16"/>
        <w:lang w:val="en-GB"/>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440"/>
        </w:tabs>
        <w:ind w:start="1440" w:hanging="720"/>
      </w:pPr>
      <w:rPr/>
    </w:lvl>
    <w:lvl w:ilvl="1">
      <w:start w:val="1"/>
      <w:numFmt w:val="lowerRoman"/>
      <w:lvlText w:val="(%2)"/>
      <w:lvlJc w:val="start"/>
      <w:pPr>
        <w:tabs>
          <w:tab w:val="num" w:pos="2138"/>
        </w:tabs>
        <w:ind w:start="567" w:firstLine="851"/>
      </w:pPr>
      <w:rPr>
        <w:sz w:val="22"/>
        <w:i w:val="false"/>
        <w:b w:val="false"/>
        <w:rFonts w:ascii="Times New Roman" w:hAnsi="Times New Roman" w:cs="Times New Roman"/>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upperLetter"/>
      <w:lvlText w:val="(%1)"/>
      <w:lvlJc w:val="start"/>
      <w:pPr>
        <w:tabs>
          <w:tab w:val="num" w:pos="1509"/>
        </w:tabs>
        <w:ind w:start="1509" w:hanging="375"/>
      </w:pPr>
      <w:rPr/>
    </w:lvl>
  </w:abstractNum>
  <w:abstractNum w:abstractNumId="4">
    <w:lvl w:ilvl="0">
      <w:start w:val="1"/>
      <w:numFmt w:val="lowerLetter"/>
      <w:lvlText w:val="(%1)"/>
      <w:lvlJc w:val="start"/>
      <w:pPr>
        <w:tabs>
          <w:tab w:val="num" w:pos="1069"/>
        </w:tabs>
        <w:ind w:start="0" w:firstLine="709"/>
      </w:pPr>
    </w:lvl>
    <w:lvl w:ilvl="1">
      <w:start w:val="1"/>
      <w:numFmt w:val="lowerRoman"/>
      <w:lvlText w:val="(%2)"/>
      <w:lvlJc w:val="start"/>
      <w:pPr>
        <w:tabs>
          <w:tab w:val="num" w:pos="2138"/>
        </w:tabs>
        <w:ind w:start="567" w:firstLine="851"/>
      </w:pPr>
      <w:rPr>
        <w:sz w:val="22"/>
        <w:i w:val="false"/>
        <w:b w:val="false"/>
        <w:rFonts w:ascii="Times New Roman" w:hAnsi="Times New Roman" w:cs="Times New Roman"/>
      </w:rPr>
    </w:lvl>
    <w:lvl w:ilvl="2">
      <w:start w:val="1"/>
      <w:numFmt w:val="lowerRoman"/>
      <w:lvlText w:val="%3)"/>
      <w:lvlJc w:val="start"/>
      <w:pPr>
        <w:tabs>
          <w:tab w:val="num" w:pos="108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5">
    <w:lvl w:ilvl="0">
      <w:start w:val="1"/>
      <w:numFmt w:val="lowerLetter"/>
      <w:lvlText w:val="(%1)"/>
      <w:lvlJc w:val="start"/>
      <w:pPr>
        <w:tabs>
          <w:tab w:val="num" w:pos="420"/>
        </w:tabs>
        <w:ind w:start="420" w:hanging="420"/>
      </w:pPr>
      <w:rPr>
        <w:b w:val="fals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Arial" w:hAnsi="Arial" w:eastAsia="Times New Roman" w:cs="Arial"/>
      <w:color w:val="auto"/>
      <w:sz w:val="20"/>
      <w:szCs w:val="20"/>
      <w:lang w:val="en-US" w:eastAsia="zh-CN" w:bidi="hi-IN"/>
    </w:rPr>
  </w:style>
  <w:style w:type="paragraph" w:styleId="Heading1">
    <w:name w:val="heading 1"/>
    <w:basedOn w:val="Normal"/>
    <w:next w:val="Heading2"/>
    <w:qFormat/>
    <w:pPr>
      <w:keepNext w:val="true"/>
      <w:numPr>
        <w:ilvl w:val="0"/>
        <w:numId w:val="1"/>
      </w:numPr>
      <w:spacing w:before="240" w:after="480"/>
      <w:jc w:val="center"/>
      <w:outlineLvl w:val="0"/>
    </w:pPr>
    <w:rPr>
      <w:b/>
      <w:caps/>
      <w:sz w:val="22"/>
    </w:rPr>
  </w:style>
  <w:style w:type="paragraph" w:styleId="Heading2">
    <w:name w:val="heading 2"/>
    <w:basedOn w:val="Normal"/>
    <w:next w:val="BodyText"/>
    <w:qFormat/>
    <w:pPr>
      <w:numPr>
        <w:ilvl w:val="1"/>
        <w:numId w:val="1"/>
      </w:numPr>
      <w:spacing w:before="0" w:after="240"/>
      <w:ind w:firstLine="720" w:start="0" w:end="0"/>
      <w:jc w:val="both"/>
      <w:outlineLvl w:val="1"/>
    </w:pPr>
    <w:rPr>
      <w:sz w:val="22"/>
    </w:rPr>
  </w:style>
  <w:style w:type="paragraph" w:styleId="Heading3">
    <w:name w:val="heading 3"/>
    <w:basedOn w:val="Normal"/>
    <w:next w:val="NormalIndent"/>
    <w:qFormat/>
    <w:pPr>
      <w:numPr>
        <w:ilvl w:val="2"/>
        <w:numId w:val="1"/>
      </w:numPr>
      <w:ind w:hanging="0" w:start="360" w:end="0"/>
      <w:outlineLvl w:val="2"/>
    </w:pPr>
    <w:rPr>
      <w:b/>
      <w:sz w:val="24"/>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rPr>
  </w:style>
  <w:style w:type="paragraph" w:styleId="Heading6">
    <w:name w:val="heading 6"/>
    <w:basedOn w:val="Normal"/>
    <w:next w:val="BodyText"/>
    <w:qFormat/>
    <w:pPr>
      <w:numPr>
        <w:ilvl w:val="5"/>
        <w:numId w:val="1"/>
      </w:numPr>
      <w:spacing w:before="0" w:after="120"/>
      <w:ind w:hanging="0" w:start="1440" w:end="1440"/>
      <w:jc w:val="both"/>
      <w:outlineLvl w:val="5"/>
    </w:pPr>
    <w:rPr>
      <w:sz w:val="22"/>
    </w:rPr>
  </w:style>
  <w:style w:type="paragraph" w:styleId="Heading7">
    <w:name w:val="heading 7"/>
    <w:basedOn w:val="Normal"/>
    <w:next w:val="BodyText"/>
    <w:qFormat/>
    <w:pPr>
      <w:numPr>
        <w:ilvl w:val="6"/>
        <w:numId w:val="1"/>
      </w:numPr>
      <w:spacing w:before="0" w:after="240"/>
      <w:ind w:hanging="720" w:start="2160" w:end="0"/>
      <w:jc w:val="both"/>
      <w:outlineLvl w:val="6"/>
    </w:pPr>
    <w:rPr>
      <w:sz w:val="22"/>
    </w:rPr>
  </w:style>
  <w:style w:type="paragraph" w:styleId="Heading8">
    <w:name w:val="heading 8"/>
    <w:basedOn w:val="Normal"/>
    <w:next w:val="BodyText"/>
    <w:qFormat/>
    <w:pPr>
      <w:numPr>
        <w:ilvl w:val="7"/>
        <w:numId w:val="1"/>
      </w:numPr>
      <w:spacing w:before="0" w:after="240"/>
      <w:ind w:hanging="720" w:start="2880" w:end="0"/>
      <w:jc w:val="both"/>
      <w:outlineLvl w:val="7"/>
    </w:pPr>
    <w:rPr>
      <w:sz w:val="22"/>
    </w:rPr>
  </w:style>
  <w:style w:type="paragraph" w:styleId="Heading9">
    <w:name w:val="heading 9"/>
    <w:basedOn w:val="Normal"/>
    <w:next w:val="NormalIndent"/>
    <w:qFormat/>
    <w:pPr>
      <w:numPr>
        <w:ilvl w:val="8"/>
        <w:numId w:val="1"/>
      </w:numPr>
      <w:ind w:hanging="0" w:start="720" w:end="0"/>
      <w:outlineLvl w:val="8"/>
    </w:pPr>
    <w:rPr>
      <w:i/>
    </w:rPr>
  </w:style>
  <w:style w:type="character" w:styleId="WW8Num1z0">
    <w:name w:val="WW8Num1z0"/>
    <w:qFormat/>
    <w:rPr/>
  </w:style>
  <w:style w:type="character" w:styleId="WW8Num1z1">
    <w:name w:val="WW8Num1z1"/>
    <w:qFormat/>
    <w:rPr>
      <w:rFonts w:ascii="Times New Roman" w:hAnsi="Times New Roman" w:cs="Times New Roman"/>
      <w:b w:val="false"/>
      <w:i w:val="false"/>
      <w:sz w:val="22"/>
    </w:rPr>
  </w:style>
  <w:style w:type="character" w:styleId="WW8Num2z0">
    <w:name w:val="WW8Num2z0"/>
    <w:qFormat/>
    <w:rPr/>
  </w:style>
  <w:style w:type="character" w:styleId="WW8Num3z0">
    <w:name w:val="WW8Num3z0"/>
    <w:qFormat/>
    <w:rPr>
      <w:b w:val="false"/>
    </w:rPr>
  </w:style>
  <w:style w:type="character" w:styleId="WW8Num4z1">
    <w:name w:val="WW8Num4z1"/>
    <w:qFormat/>
    <w:rPr>
      <w:rFonts w:ascii="Times New Roman" w:hAnsi="Times New Roman" w:cs="Times New Roman"/>
      <w:b w:val="false"/>
      <w:i w:val="false"/>
      <w:sz w:val="22"/>
    </w:rPr>
  </w:style>
  <w:style w:type="character" w:styleId="WW8Num5z0">
    <w:name w:val="WW8Num5z0"/>
    <w:qFormat/>
    <w:rPr>
      <w:b w:val="false"/>
    </w:rPr>
  </w:style>
  <w:style w:type="character" w:styleId="WW8Num6z0">
    <w:name w:val="WW8Num6z0"/>
    <w:qFormat/>
    <w:rPr>
      <w:b w:val="false"/>
    </w:rPr>
  </w:style>
  <w:style w:type="character" w:styleId="WW8Num7z0">
    <w:name w:val="WW8Num7z0"/>
    <w:qFormat/>
    <w:rPr/>
  </w:style>
  <w:style w:type="character" w:styleId="WW8Num7z1">
    <w:name w:val="WW8Num7z1"/>
    <w:qFormat/>
    <w:rPr>
      <w:rFonts w:ascii="Times New Roman" w:hAnsi="Times New Roman" w:cs="Times New Roman"/>
      <w:b w:val="false"/>
      <w:i w:val="false"/>
      <w:sz w:val="22"/>
    </w:rPr>
  </w:style>
  <w:style w:type="character" w:styleId="WW8Num8z0">
    <w:name w:val="WW8Num8z0"/>
    <w:qFormat/>
    <w:rPr>
      <w:b w:val="false"/>
    </w:rPr>
  </w:style>
  <w:style w:type="character" w:styleId="DefaultParagraphFont">
    <w:name w:val="Default Paragraph Font"/>
    <w:qFormat/>
    <w:rPr/>
  </w:style>
  <w:style w:type="character" w:styleId="EndnoteCharacters">
    <w:name w:val="Endnote Characters"/>
    <w:basedOn w:val="DefaultParagraphFont"/>
    <w:qFormat/>
    <w:rPr>
      <w:sz w:val="20"/>
      <w:vertAlign w:val="superscript"/>
    </w:rPr>
  </w:style>
  <w:style w:type="character" w:styleId="LineNumber">
    <w:name w:val="line number"/>
    <w:basedOn w:val="DefaultParagraphFont"/>
    <w:rPr>
      <w:sz w:val="20"/>
    </w:rPr>
  </w:style>
  <w:style w:type="character" w:styleId="FootnoteCharacters">
    <w:name w:val="Footnote Characters"/>
    <w:basedOn w:val="DefaultParagraphFont"/>
    <w:qFormat/>
    <w:rPr>
      <w:rFonts w:ascii="Arial" w:hAnsi="Arial" w:cs="Arial"/>
      <w:sz w:val="16"/>
      <w:vertAlign w:val="superscript"/>
    </w:rPr>
  </w:style>
  <w:style w:type="character" w:styleId="PageNumber">
    <w:name w:val="page number"/>
    <w:basedOn w:val="DefaultParagraphFont"/>
    <w:rPr>
      <w:rFonts w:ascii="Arial" w:hAnsi="Arial" w:cs="Arial"/>
      <w:sz w:val="20"/>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TOC7">
    <w:name w:val="toc 7"/>
    <w:basedOn w:val="Normal"/>
    <w:pPr>
      <w:tabs>
        <w:tab w:val="clear" w:pos="720"/>
        <w:tab w:val="left" w:pos="8280" w:leader="dot"/>
        <w:tab w:val="right" w:pos="8640" w:leader="none"/>
      </w:tabs>
      <w:spacing w:before="0" w:after="240"/>
      <w:ind w:hanging="0" w:start="0" w:end="720"/>
    </w:pPr>
    <w:rPr>
      <w:sz w:val="22"/>
    </w:rPr>
  </w:style>
  <w:style w:type="paragraph" w:styleId="TOC6">
    <w:name w:val="toc 6"/>
    <w:basedOn w:val="Normal"/>
    <w:pPr>
      <w:tabs>
        <w:tab w:val="clear" w:pos="720"/>
        <w:tab w:val="left" w:pos="8280" w:leader="dot"/>
        <w:tab w:val="right" w:pos="8640" w:leader="none"/>
      </w:tabs>
      <w:spacing w:before="0" w:after="240"/>
      <w:ind w:hanging="0" w:start="0" w:end="720"/>
    </w:pPr>
    <w:rPr>
      <w:sz w:val="22"/>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2"/>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2"/>
    </w:rPr>
  </w:style>
  <w:style w:type="paragraph" w:styleId="TOC2">
    <w:name w:val="toc 2"/>
    <w:basedOn w:val="Normal"/>
    <w:next w:val="Normal"/>
    <w:pPr>
      <w:tabs>
        <w:tab w:val="clear" w:pos="720"/>
        <w:tab w:val="left" w:pos="8280" w:leader="dot"/>
        <w:tab w:val="right" w:pos="8640" w:leader="none"/>
      </w:tabs>
      <w:ind w:hanging="0" w:start="0" w:end="720"/>
    </w:pPr>
    <w:rPr>
      <w:sz w:val="22"/>
    </w:rPr>
  </w:style>
  <w:style w:type="paragraph" w:styleId="TOC1">
    <w:name w:val="toc 1"/>
    <w:basedOn w:val="Normal"/>
    <w:next w:val="Normal"/>
    <w:pPr>
      <w:tabs>
        <w:tab w:val="left" w:pos="720" w:leader="none"/>
        <w:tab w:val="left" w:pos="8280" w:leader="dot"/>
        <w:tab w:val="right" w:pos="8640" w:leader="none"/>
      </w:tabs>
      <w:ind w:hanging="0" w:start="0" w:end="720"/>
    </w:pPr>
    <w:rPr>
      <w:caps/>
      <w:sz w:val="22"/>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idden">
    <w:name w:val="Hidden"/>
    <w:basedOn w:val="Normal"/>
    <w:next w:val="Normal"/>
    <w:qFormat/>
    <w:pPr/>
    <w:rPr>
      <w:vanish/>
      <w:color w:val="FF0000"/>
      <w:sz w:val="22"/>
    </w:rPr>
  </w:style>
  <w:style w:type="paragraph" w:styleId="Expanded">
    <w:name w:val="Expanded"/>
    <w:basedOn w:val="Normal"/>
    <w:next w:val="Normal"/>
    <w:qFormat/>
    <w:pPr>
      <w:spacing w:before="0" w:after="240"/>
      <w:jc w:val="center"/>
    </w:pPr>
    <w:rPr>
      <w:b/>
      <w:caps/>
      <w:spacing w:val="60"/>
      <w:sz w:val="22"/>
    </w:rPr>
  </w:style>
  <w:style w:type="paragraph" w:styleId="Justified">
    <w:name w:val="Justified"/>
    <w:basedOn w:val="Normal"/>
    <w:next w:val="Heading2"/>
    <w:qFormat/>
    <w:pPr>
      <w:spacing w:before="0" w:after="120"/>
      <w:jc w:val="both"/>
    </w:pPr>
    <w:rPr>
      <w:sz w:val="22"/>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BodyTextIndent">
    <w:name w:val="Body Text Indent"/>
    <w:basedOn w:val="Normal"/>
    <w:pPr>
      <w:widowControl/>
      <w:tabs>
        <w:tab w:val="clear" w:pos="720"/>
        <w:tab w:val="left" w:pos="1440" w:leader="none"/>
      </w:tabs>
      <w:spacing w:before="240" w:after="0"/>
      <w:ind w:hanging="0" w:start="720" w:end="0"/>
      <w:jc w:val="both"/>
    </w:pPr>
    <w:rPr>
      <w:rFonts w:ascii="Times New Roman" w:hAnsi="Times New Roman" w:cs="Times New Roman"/>
      <w:sz w:val="22"/>
    </w:rPr>
  </w:style>
  <w:style w:type="paragraph" w:styleId="BodyTextIndent2">
    <w:name w:val="Body Text Indent 2"/>
    <w:basedOn w:val="Normal"/>
    <w:qFormat/>
    <w:pPr>
      <w:widowControl/>
      <w:ind w:hanging="0" w:start="709" w:end="0"/>
      <w:jc w:val="both"/>
    </w:pPr>
    <w:rPr>
      <w:rFonts w:ascii="Times New Roman" w:hAnsi="Times New Roman" w:cs="Times New Roman"/>
      <w:sz w:val="22"/>
    </w:rPr>
  </w:style>
  <w:style w:type="paragraph" w:styleId="BodyTextIndent3">
    <w:name w:val="Body Text Indent 3"/>
    <w:basedOn w:val="Normal"/>
    <w:qFormat/>
    <w:pPr>
      <w:widowControl/>
      <w:ind w:hanging="709" w:start="709" w:end="0"/>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Contract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1999-09-07T00:09:00Z</dcterms:created>
  <dc:creator>Edmund Cooper</dc:creator>
  <dc:description/>
  <dc:language>en-CA</dc:language>
  <cp:lastModifiedBy>Enron Capital &amp; Trade Resources</cp:lastModifiedBy>
  <cp:lastPrinted>1999-09-03T11:48:00Z</cp:lastPrinted>
  <dcterms:modified xsi:type="dcterms:W3CDTF">1999-09-07T00:09:00Z</dcterms:modified>
  <cp:revision>2</cp:revision>
  <dc:subject/>
  <dc:title>UK Credit Support Annex</dc:title>
</cp:coreProperties>
</file>