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Arial" w:hAnsi="Arial" w:cs="Arial"/>
          <w:sz w:val="20"/>
        </w:rPr>
      </w:pPr>
      <w:r>
        <w:rPr>
          <w:rFonts w:cs="Arial" w:ascii="Arial" w:hAnsi="Arial"/>
          <w:sz w:val="20"/>
        </w:rPr>
      </w:r>
    </w:p>
    <w:p>
      <w:pPr>
        <w:pStyle w:val="Normal"/>
        <w:jc w:val="end"/>
        <w:rPr>
          <w:rFonts w:ascii="Arial" w:hAnsi="Arial" w:cs="Arial"/>
          <w:sz w:val="20"/>
        </w:rPr>
      </w:pPr>
      <w:r>
        <w:rPr>
          <w:rFonts w:cs="Arial" w:ascii="Arial" w:hAnsi="Arial"/>
          <w:sz w:val="20"/>
        </w:rPr>
      </w:r>
    </w:p>
    <w:p>
      <w:pPr>
        <w:pStyle w:val="Normal"/>
        <w:jc w:val="end"/>
        <w:rPr>
          <w:rFonts w:ascii="Arial" w:hAnsi="Arial" w:cs="Arial"/>
          <w:sz w:val="20"/>
        </w:rPr>
      </w:pPr>
      <w:r>
        <w:rPr>
          <w:rFonts w:cs="Arial" w:ascii="Arial" w:hAnsi="Arial"/>
          <w:sz w:val="20"/>
        </w:rPr>
      </w:r>
    </w:p>
    <w:p>
      <w:pPr>
        <w:pStyle w:val="Normal"/>
        <w:jc w:val="end"/>
        <w:rPr>
          <w:rFonts w:ascii="Arial" w:hAnsi="Arial" w:cs="Arial"/>
          <w:sz w:val="20"/>
        </w:rPr>
      </w:pPr>
      <w:r>
        <w:rPr>
          <w:rFonts w:cs="Arial" w:ascii="Arial" w:hAnsi="Arial"/>
          <w:sz w:val="20"/>
        </w:rPr>
      </w:r>
    </w:p>
    <w:p>
      <w:pPr>
        <w:pStyle w:val="Normal"/>
        <w:jc w:val="end"/>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July 10, 2000</w:t>
      </w:r>
    </w:p>
    <w:p>
      <w:pPr>
        <w:pStyle w:val="Normal"/>
        <w:jc w:val="both"/>
        <w:rPr>
          <w:rFonts w:ascii="Arial" w:hAnsi="Arial" w:cs="Arial"/>
          <w:color w:val="0000FF"/>
          <w:sz w:val="20"/>
        </w:rPr>
      </w:pPr>
      <w:r>
        <w:rPr>
          <w:rFonts w:cs="Arial" w:ascii="Arial" w:hAnsi="Arial"/>
          <w:color w:val="0000FF"/>
          <w:sz w:val="20"/>
        </w:rPr>
      </w:r>
    </w:p>
    <w:p>
      <w:pPr>
        <w:pStyle w:val="Normal"/>
        <w:jc w:val="both"/>
        <w:rPr>
          <w:rFonts w:ascii="Arial" w:hAnsi="Arial" w:cs="Arial"/>
          <w:color w:val="0000FF"/>
          <w:sz w:val="20"/>
        </w:rPr>
      </w:pPr>
      <w:r>
        <w:rPr>
          <w:rFonts w:cs="Arial" w:ascii="Arial" w:hAnsi="Arial"/>
          <w:color w:val="0000FF"/>
          <w:sz w:val="20"/>
        </w:rPr>
        <w:t>Petro-Canada Oil and Gas</w:t>
      </w:r>
    </w:p>
    <w:p>
      <w:pPr>
        <w:pStyle w:val="Normal"/>
        <w:jc w:val="both"/>
        <w:rPr/>
      </w:pPr>
      <w:r>
        <w:rPr>
          <w:rFonts w:cs="Arial" w:ascii="Arial" w:hAnsi="Arial"/>
          <w:color w:val="0000FF"/>
          <w:sz w:val="20"/>
        </w:rPr>
        <w:t>150 - 6</w:t>
      </w:r>
      <w:r>
        <w:rPr>
          <w:rFonts w:cs="Arial" w:ascii="Arial" w:hAnsi="Arial"/>
          <w:color w:val="0000FF"/>
          <w:sz w:val="20"/>
          <w:vertAlign w:val="superscript"/>
        </w:rPr>
        <w:t>th</w:t>
      </w:r>
      <w:r>
        <w:rPr>
          <w:rFonts w:cs="Arial" w:ascii="Arial" w:hAnsi="Arial"/>
          <w:color w:val="0000FF"/>
          <w:sz w:val="20"/>
        </w:rPr>
        <w:t xml:space="preserve"> Avenue S.W.</w:t>
      </w:r>
    </w:p>
    <w:p>
      <w:pPr>
        <w:pStyle w:val="Normal"/>
        <w:jc w:val="both"/>
        <w:rPr>
          <w:rFonts w:ascii="Arial" w:hAnsi="Arial" w:cs="Arial"/>
          <w:color w:val="0000FF"/>
          <w:sz w:val="20"/>
        </w:rPr>
      </w:pPr>
      <w:r>
        <w:rPr>
          <w:rFonts w:cs="Arial" w:ascii="Arial" w:hAnsi="Arial"/>
          <w:color w:val="0000FF"/>
          <w:sz w:val="20"/>
        </w:rPr>
        <w:t>Calgary, Alberta  T2P 3E3</w:t>
      </w:r>
    </w:p>
    <w:p>
      <w:pPr>
        <w:pStyle w:val="Normal"/>
        <w:jc w:val="both"/>
        <w:rPr>
          <w:rFonts w:ascii="Arial" w:hAnsi="Arial" w:cs="Arial"/>
          <w:color w:val="0000FF"/>
          <w:sz w:val="20"/>
        </w:rPr>
      </w:pPr>
      <w:r>
        <w:rPr>
          <w:rFonts w:cs="Arial" w:ascii="Arial" w:hAnsi="Arial"/>
          <w:color w:val="0000FF"/>
          <w:sz w:val="20"/>
        </w:rPr>
      </w:r>
    </w:p>
    <w:p>
      <w:pPr>
        <w:pStyle w:val="Normal"/>
        <w:jc w:val="both"/>
        <w:rPr>
          <w:rFonts w:ascii="Arial" w:hAnsi="Arial" w:cs="Arial"/>
          <w:sz w:val="20"/>
          <w:u w:val="single"/>
        </w:rPr>
      </w:pPr>
      <w:r>
        <w:rPr>
          <w:rFonts w:cs="Arial" w:ascii="Arial" w:hAnsi="Arial"/>
          <w:color w:val="0000FF"/>
          <w:sz w:val="20"/>
          <w:u w:val="single"/>
        </w:rPr>
        <w:t>Attention:</w:t>
        <w:tab/>
        <w:t>Heather Scott</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rPr>
      </w:pPr>
      <w:r>
        <w:rPr>
          <w:rFonts w:cs="Arial" w:ascii="Arial" w:hAnsi="Arial"/>
          <w:sz w:val="20"/>
        </w:rPr>
        <w:t>Dear Sirs and Mesdames:</w:t>
      </w:r>
    </w:p>
    <w:p>
      <w:pPr>
        <w:pStyle w:val="Normal"/>
        <w:jc w:val="both"/>
        <w:rPr>
          <w:rFonts w:ascii="Arial" w:hAnsi="Arial" w:cs="Arial"/>
          <w:sz w:val="20"/>
        </w:rPr>
      </w:pPr>
      <w:r>
        <w:rPr>
          <w:rFonts w:cs="Arial" w:ascii="Arial" w:hAnsi="Arial"/>
          <w:sz w:val="20"/>
        </w:rPr>
      </w:r>
    </w:p>
    <w:tbl>
      <w:tblPr>
        <w:tblW w:w="9360" w:type="dxa"/>
        <w:jc w:val="start"/>
        <w:tblInd w:w="0" w:type="dxa"/>
        <w:tblLayout w:type="fixed"/>
        <w:tblCellMar>
          <w:top w:w="0" w:type="dxa"/>
          <w:start w:w="0" w:type="dxa"/>
          <w:bottom w:w="0" w:type="dxa"/>
          <w:end w:w="0" w:type="dxa"/>
        </w:tblCellMar>
      </w:tblPr>
      <w:tblGrid>
        <w:gridCol w:w="720"/>
        <w:gridCol w:w="8640"/>
      </w:tblGrid>
      <w:tr>
        <w:trPr>
          <w:trHeight w:val="240" w:hRule="atLeast"/>
        </w:trPr>
        <w:tc>
          <w:tcPr>
            <w:tcW w:w="720" w:type="dxa"/>
            <w:tcBorders/>
          </w:tcPr>
          <w:p>
            <w:pPr>
              <w:pStyle w:val="Normal"/>
              <w:rPr>
                <w:rFonts w:ascii="Arial" w:hAnsi="Arial" w:cs="Arial"/>
                <w:b/>
                <w:sz w:val="20"/>
              </w:rPr>
            </w:pPr>
            <w:r>
              <w:rPr>
                <w:rFonts w:cs="Arial" w:ascii="Arial" w:hAnsi="Arial"/>
                <w:b/>
                <w:sz w:val="20"/>
              </w:rPr>
              <w:t>Re:</w:t>
            </w:r>
          </w:p>
        </w:tc>
        <w:tc>
          <w:tcPr>
            <w:tcW w:w="8640" w:type="dxa"/>
            <w:tcBorders/>
          </w:tcPr>
          <w:p>
            <w:pPr>
              <w:pStyle w:val="Normal"/>
              <w:rPr>
                <w:rFonts w:ascii="Arial" w:hAnsi="Arial" w:cs="Arial"/>
                <w:b/>
                <w:sz w:val="20"/>
              </w:rPr>
            </w:pPr>
            <w:r>
              <w:rPr>
                <w:rFonts w:cs="Arial" w:ascii="Arial" w:hAnsi="Arial"/>
                <w:b/>
                <w:sz w:val="20"/>
              </w:rPr>
              <w:t>Amendment to the Master Firm Gas Purchase/Sale Agreement dated January 17, 1994, as amended and restated effective as of September 8, 1997, between Petro-</w:t>
              <w:br/>
              <w:t>Canada Oil and Gas ("Customer") and Enron Canada Corp., formerly Enron Capital &amp; Trade Resources Canada Corp. ("Enron Canada") (the "Master Agreement"); and</w:t>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t>ISDA Master Agreement dated May 27, 1998 between Petro-Canada and Enron Canada (the "ISDA Agreement")</w:t>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In connection with the Master Agreement and the ISDA Agreement and on a without prejudice basis (unless and until accepted by Customer as hereinafter provided), this letter constitutes the agreement reached between Customer and Enron Canada to amend the Master Agreement, effective immediately, as follows:</w:t>
      </w:r>
    </w:p>
    <w:p>
      <w:pPr>
        <w:pStyle w:val="Normal"/>
        <w:rPr>
          <w:rFonts w:ascii="Arial" w:hAnsi="Arial" w:cs="Arial"/>
          <w:sz w:val="20"/>
        </w:rPr>
      </w:pPr>
      <w:r>
        <w:rPr>
          <w:rFonts w:cs="Arial" w:ascii="Arial" w:hAnsi="Arial"/>
          <w:sz w:val="20"/>
        </w:rPr>
      </w:r>
    </w:p>
    <w:p>
      <w:pPr>
        <w:pStyle w:val="Blainco1Numbering"/>
        <w:numPr>
          <w:ilvl w:val="0"/>
          <w:numId w:val="3"/>
        </w:numPr>
        <w:ind w:hanging="0" w:start="0"/>
        <w:rPr>
          <w:sz w:val="20"/>
        </w:rPr>
      </w:pPr>
      <w:r>
        <w:rPr>
          <w:sz w:val="20"/>
        </w:rPr>
        <w:t>In all instances, delete “</w:t>
      </w:r>
      <w:r>
        <w:rPr>
          <w:b/>
          <w:sz w:val="20"/>
        </w:rPr>
        <w:t>ECT Canada</w:t>
      </w:r>
      <w:r>
        <w:rPr>
          <w:sz w:val="20"/>
        </w:rPr>
        <w:t>” and replace with “</w:t>
      </w:r>
      <w:r>
        <w:rPr>
          <w:b/>
          <w:sz w:val="20"/>
        </w:rPr>
        <w:t>Enron Canada</w:t>
      </w:r>
      <w:r>
        <w:rPr>
          <w:sz w:val="20"/>
        </w:rPr>
        <w:t>” and delete “</w:t>
      </w:r>
      <w:r>
        <w:rPr>
          <w:b/>
          <w:sz w:val="20"/>
        </w:rPr>
        <w:t>Enron Capital &amp; Trade Resources Canada Corp.</w:t>
      </w:r>
      <w:r>
        <w:rPr>
          <w:sz w:val="20"/>
        </w:rPr>
        <w:t>” and replace with “</w:t>
      </w:r>
      <w:r>
        <w:rPr>
          <w:b/>
          <w:sz w:val="20"/>
        </w:rPr>
        <w:t>Enron Canada Corp., formerly Enron Capital &amp; Trade Resources Canada Corp.</w:t>
      </w:r>
      <w:r>
        <w:rPr>
          <w:sz w:val="20"/>
        </w:rPr>
        <w:t>”</w:t>
      </w:r>
    </w:p>
    <w:p>
      <w:pPr>
        <w:pStyle w:val="Blainco1Numbering"/>
        <w:numPr>
          <w:ilvl w:val="0"/>
          <w:numId w:val="0"/>
        </w:numPr>
        <w:ind w:hanging="0" w:start="0"/>
        <w:rPr>
          <w:sz w:val="20"/>
        </w:rPr>
      </w:pPr>
      <w:r>
        <w:rPr>
          <w:sz w:val="20"/>
        </w:rPr>
      </w:r>
    </w:p>
    <w:p>
      <w:pPr>
        <w:pStyle w:val="Blainco1Numbering"/>
        <w:numPr>
          <w:ilvl w:val="0"/>
          <w:numId w:val="0"/>
        </w:numPr>
        <w:tabs>
          <w:tab w:val="clear" w:pos="720"/>
          <w:tab w:val="left" w:pos="360" w:leader="none"/>
        </w:tabs>
        <w:ind w:hanging="720" w:start="720" w:end="0"/>
        <w:rPr>
          <w:sz w:val="20"/>
        </w:rPr>
      </w:pPr>
      <w:r>
        <w:rPr>
          <w:sz w:val="20"/>
        </w:rPr>
        <w:t>2.</w:t>
        <w:tab/>
        <w:tab/>
        <w:t>Delete the text of Section 10.6 in its entirety and replace it with the following:</w:t>
      </w:r>
    </w:p>
    <w:p>
      <w:pPr>
        <w:pStyle w:val="Blainco1Numbering"/>
        <w:numPr>
          <w:ilvl w:val="0"/>
          <w:numId w:val="0"/>
        </w:numPr>
        <w:ind w:hanging="0" w:start="0"/>
        <w:rPr>
          <w:b/>
          <w:sz w:val="20"/>
        </w:rPr>
      </w:pPr>
      <w:r>
        <w:rPr>
          <w:b/>
          <w:sz w:val="20"/>
        </w:rPr>
      </w:r>
    </w:p>
    <w:p>
      <w:pPr>
        <w:pStyle w:val="Blainco1Numbering"/>
        <w:numPr>
          <w:ilvl w:val="0"/>
          <w:numId w:val="0"/>
        </w:numPr>
        <w:ind w:hanging="720" w:start="1440" w:end="0"/>
        <w:rPr/>
      </w:pPr>
      <w:r>
        <w:rPr>
          <w:b/>
          <w:sz w:val="20"/>
        </w:rPr>
        <w:t>“</w:t>
      </w:r>
      <w:r>
        <w:rPr>
          <w:b/>
          <w:sz w:val="20"/>
        </w:rPr>
        <w:t>10.6.</w:t>
        <w:tab/>
      </w:r>
      <w:r>
        <w:rPr>
          <w:b/>
          <w:sz w:val="20"/>
          <w:u w:val="single"/>
        </w:rPr>
        <w:t>Exposure Thresholds; Collateral Requirement</w:t>
      </w:r>
      <w:r>
        <w:rPr>
          <w:b/>
          <w:sz w:val="20"/>
        </w:rPr>
        <w:t>.</w:t>
      </w:r>
    </w:p>
    <w:p>
      <w:pPr>
        <w:pStyle w:val="Blainco1Numbering"/>
        <w:numPr>
          <w:ilvl w:val="0"/>
          <w:numId w:val="0"/>
        </w:numPr>
        <w:ind w:hanging="720" w:start="1440" w:end="0"/>
        <w:rPr>
          <w:b/>
          <w:sz w:val="20"/>
        </w:rPr>
      </w:pPr>
      <w:r>
        <w:rPr>
          <w:b/>
          <w:sz w:val="20"/>
        </w:rPr>
      </w:r>
    </w:p>
    <w:p>
      <w:pPr>
        <w:pStyle w:val="Blainco1Numbering"/>
        <w:numPr>
          <w:ilvl w:val="0"/>
          <w:numId w:val="0"/>
        </w:numPr>
        <w:ind w:hanging="0" w:start="720" w:end="0"/>
        <w:rPr/>
      </w:pPr>
      <w:r>
        <w:rPr>
          <w:b/>
          <w:sz w:val="20"/>
        </w:rPr>
        <w:t>(a)</w:t>
        <w:tab/>
        <w:t>If at any time and from time to time during the term of this Agreement (and notwithstanding whether a Triggering Event has occurred), the amount of Early Termination Damages that would be owed by Customer to Enron Canada, plus all amounts owed but not yet paid by Customer (whether or not such amounts are then due) pursuant to any and all Transactions (collectively, “Customer’s Exposure Amount”) exceeds U.S</w:t>
      </w:r>
      <w:r>
        <w:rPr>
          <w:b/>
          <w:color w:val="0000FF"/>
          <w:sz w:val="20"/>
        </w:rPr>
        <w:t>.</w:t>
      </w:r>
      <w:r>
        <w:rPr>
          <w:b/>
          <w:sz w:val="20"/>
        </w:rPr>
        <w:t xml:space="preserve"> </w:t>
      </w:r>
      <w:r>
        <w:rPr>
          <w:b/>
          <w:color w:val="0000FF"/>
          <w:sz w:val="20"/>
        </w:rPr>
        <w:t>$45 million</w:t>
      </w:r>
      <w:r>
        <w:rPr>
          <w:b/>
          <w:sz w:val="20"/>
        </w:rPr>
        <w:t>, then Enron Canada may by notice require Customer (i) to deliver to Enron Canada a Letter of Credit in an amount equal to Customer’s Collateral Amount (defined below), or (ii) to deliver to Enron Canada such other collateral as may be reasonably acceptable to Enron Canada.  Customer shall deliver to Enron Canada the Letter of Credit or other collateral within ten (10) Business Days of the date of such notice.  On a weekly basis, such Letter of Credit or other collateral shall be increased or reduced, as applicable, to the then current Customer’s Collateral Amount.  “Customer’s Collateral Amount” means the amount by which the Customer’s Exposure Amount exceeds U.S</w:t>
      </w:r>
      <w:r>
        <w:rPr>
          <w:b/>
          <w:color w:val="0000FF"/>
          <w:sz w:val="20"/>
        </w:rPr>
        <w:t>. $45 million, rounded upwards to the next U.S. $1 million</w:t>
      </w:r>
      <w:r>
        <w:rPr>
          <w:b/>
          <w:sz w:val="20"/>
        </w:rPr>
        <w:t>.</w:t>
      </w:r>
    </w:p>
    <w:p>
      <w:pPr>
        <w:pStyle w:val="Normal"/>
        <w:rPr>
          <w:rFonts w:ascii="Arial" w:hAnsi="Arial" w:cs="Arial"/>
          <w:b/>
          <w:sz w:val="20"/>
        </w:rPr>
      </w:pPr>
      <w:r>
        <w:rPr>
          <w:rFonts w:cs="Arial" w:ascii="Arial" w:hAnsi="Arial"/>
          <w:b/>
          <w:sz w:val="20"/>
        </w:rPr>
      </w:r>
    </w:p>
    <w:p>
      <w:pPr>
        <w:pStyle w:val="Blainco1Numbering"/>
        <w:numPr>
          <w:ilvl w:val="0"/>
          <w:numId w:val="0"/>
        </w:numPr>
        <w:ind w:hanging="0" w:start="720" w:end="0"/>
        <w:rPr/>
      </w:pPr>
      <w:r>
        <w:rPr>
          <w:b/>
          <w:sz w:val="20"/>
        </w:rPr>
        <w:t>(b)</w:t>
        <w:tab/>
        <w:t>If at any time and from time to time during the term of this Agreement (and notwithstanding whether a Triggering Event has occurred), the amount of Early Termination Damages that would be owed by Enron Canada to Customer, plus all amounts owed but not yet paid by Enron Canada (whether or not such amounts are then due) pursuant to any and all Transactions (collectively, “Enron Canada’s Exposure Amount”) exceeds U.S.</w:t>
      </w:r>
      <w:r>
        <w:rPr>
          <w:b/>
          <w:color w:val="0000FF"/>
          <w:sz w:val="20"/>
        </w:rPr>
        <w:t xml:space="preserve"> $45 million</w:t>
      </w:r>
      <w:r>
        <w:rPr>
          <w:b/>
          <w:sz w:val="20"/>
        </w:rPr>
        <w:t>, then Customer may by notice require Enron Canada (i) to deliver to Customer a Letter of Credit in an amount equal to Enron Canada’s Collateral Amount (defined below), or (ii) to deliver to Customer such other collateral as may be reasonably acceptable to Customer.  Enron Canada shall deliver to Customer the Letter of Credit or other collateral within ten (10) Business Days of the date of such notice.  On a weekly basis, such Letter of Credit or other collateral shall be increased or reduced, as applicable, to the then current Enron Canada’s Collateral Amount.  “Enron Canada’s Collateral Amount” means the amount by which the Enron Canada’s Exposure Amount exceeds U.S</w:t>
      </w:r>
      <w:r>
        <w:rPr>
          <w:b/>
          <w:color w:val="0000FF"/>
          <w:sz w:val="20"/>
        </w:rPr>
        <w:t>. $45 million, rounded upwards to the next U.S. $1 million</w:t>
      </w:r>
      <w:r>
        <w:rPr>
          <w:b/>
          <w:sz w:val="20"/>
        </w:rPr>
        <w:t>.</w:t>
      </w:r>
      <w:r>
        <w:rPr>
          <w:sz w:val="20"/>
        </w:rPr>
        <w:t>”</w:t>
      </w:r>
    </w:p>
    <w:p>
      <w:pPr>
        <w:pStyle w:val="Normal"/>
        <w:rPr>
          <w:rFonts w:ascii="Arial" w:hAnsi="Arial" w:cs="Arial"/>
          <w:sz w:val="20"/>
        </w:rPr>
      </w:pPr>
      <w:r>
        <w:rPr>
          <w:rFonts w:cs="Arial" w:ascii="Arial" w:hAnsi="Arial"/>
          <w:sz w:val="20"/>
        </w:rPr>
      </w:r>
    </w:p>
    <w:p>
      <w:pPr>
        <w:pStyle w:val="Blainco1Numbering"/>
        <w:numPr>
          <w:ilvl w:val="0"/>
          <w:numId w:val="0"/>
        </w:numPr>
        <w:ind w:hanging="0" w:start="0"/>
        <w:rPr>
          <w:sz w:val="20"/>
        </w:rPr>
      </w:pPr>
      <w:r>
        <w:rPr>
          <w:sz w:val="20"/>
        </w:rPr>
        <w:t>The Master Agreement, as herein amended, is hereby ratified and confirmed, and the Master Agreement and this letter agreement shall be read together so as to form one document.  Enron Canada and Customer further agree that, effective immediately, any and all Transactions outstanding under the Master Agreement shall be, and shall be deemed to be, Transactions outstanding under, and subject to the terms and conditions of, the Master Agreement, as amended hereby.</w:t>
      </w:r>
    </w:p>
    <w:p>
      <w:pPr>
        <w:pStyle w:val="Blainco1Numbering"/>
        <w:numPr>
          <w:ilvl w:val="0"/>
          <w:numId w:val="0"/>
        </w:numPr>
        <w:ind w:hanging="0" w:start="0"/>
        <w:rPr>
          <w:sz w:val="20"/>
        </w:rPr>
      </w:pPr>
      <w:r>
        <w:rPr>
          <w:sz w:val="20"/>
        </w:rPr>
      </w:r>
    </w:p>
    <w:p>
      <w:pPr>
        <w:pStyle w:val="Normal"/>
        <w:keepNext w:val="true"/>
        <w:rPr/>
      </w:pPr>
      <w:r>
        <w:rPr>
          <w:rFonts w:cs="Arial" w:ascii="Arial" w:hAnsi="Arial"/>
          <w:sz w:val="20"/>
        </w:rPr>
        <w:t xml:space="preserve">The foregoing is subject to acceptance by PCOG on or before 5:00p.m. (M.D.T.) on </w:t>
      </w:r>
      <w:r>
        <w:rPr>
          <w:rFonts w:eastAsia="Symbol" w:cs="Symbol" w:ascii="Symbol" w:hAnsi="Symbol"/>
          <w:sz w:val="20"/>
        </w:rPr>
        <w:sym w:font="Symbol" w:char="f0b7"/>
      </w:r>
      <w:r>
        <w:rPr>
          <w:rFonts w:cs="Arial" w:ascii="Arial" w:hAnsi="Arial"/>
          <w:sz w:val="20"/>
        </w:rPr>
        <w:t xml:space="preserve">, July </w:t>
      </w:r>
      <w:r>
        <w:rPr>
          <w:rFonts w:eastAsia="Symbol" w:cs="Symbol" w:ascii="Symbol" w:hAnsi="Symbol"/>
          <w:sz w:val="20"/>
        </w:rPr>
        <w:sym w:font="Symbol" w:char="f0b7"/>
      </w:r>
      <w:r>
        <w:rPr>
          <w:rFonts w:cs="Arial" w:ascii="Arial" w:hAnsi="Arial"/>
          <w:sz w:val="20"/>
        </w:rPr>
        <w:t>, 2000, after which time the foregoing shall be null and void and be incapable of acceptance.  Please indicate your acceptance of the foregoing amendment by:</w:t>
      </w:r>
    </w:p>
    <w:p>
      <w:pPr>
        <w:pStyle w:val="Normal"/>
        <w:keepNext w:val="true"/>
        <w:rPr>
          <w:rFonts w:ascii="Arial" w:hAnsi="Arial" w:cs="Arial"/>
          <w:sz w:val="20"/>
        </w:rPr>
      </w:pPr>
      <w:r>
        <w:rPr>
          <w:rFonts w:cs="Arial" w:ascii="Arial" w:hAnsi="Arial"/>
          <w:sz w:val="20"/>
        </w:rPr>
      </w:r>
    </w:p>
    <w:p>
      <w:pPr>
        <w:pStyle w:val="Normal"/>
        <w:keepNext w:val="true"/>
        <w:numPr>
          <w:ilvl w:val="0"/>
          <w:numId w:val="2"/>
        </w:numPr>
        <w:rPr>
          <w:rFonts w:ascii="Arial" w:hAnsi="Arial" w:cs="Arial"/>
          <w:sz w:val="20"/>
        </w:rPr>
      </w:pPr>
      <w:r>
        <w:rPr>
          <w:rFonts w:cs="Arial" w:ascii="Arial" w:hAnsi="Arial"/>
          <w:sz w:val="20"/>
        </w:rPr>
        <w:t>arranging for the execution of the amendment to the ISDA Agreement, in the form attached hereto as Schedule "A", on behalf of Petro-Canada and returning one originally executed copy of such document to my attention; and</w:t>
      </w:r>
    </w:p>
    <w:p>
      <w:pPr>
        <w:pStyle w:val="Normal"/>
        <w:keepNext w:val="true"/>
        <w:rPr>
          <w:rFonts w:ascii="Arial" w:hAnsi="Arial" w:cs="Arial"/>
          <w:sz w:val="20"/>
        </w:rPr>
      </w:pPr>
      <w:r>
        <w:rPr>
          <w:rFonts w:cs="Arial" w:ascii="Arial" w:hAnsi="Arial"/>
          <w:sz w:val="20"/>
        </w:rPr>
      </w:r>
    </w:p>
    <w:p>
      <w:pPr>
        <w:pStyle w:val="Normal"/>
        <w:keepNext w:val="true"/>
        <w:numPr>
          <w:ilvl w:val="0"/>
          <w:numId w:val="2"/>
        </w:numPr>
        <w:rPr>
          <w:rFonts w:ascii="Arial" w:hAnsi="Arial" w:cs="Arial"/>
          <w:sz w:val="20"/>
        </w:rPr>
      </w:pPr>
      <w:r>
        <w:rPr>
          <w:rFonts w:cs="Arial" w:ascii="Arial" w:hAnsi="Arial"/>
          <w:sz w:val="20"/>
        </w:rPr>
        <w:t>arranging for the execution of this letter agreement on behalf of Customer and returning one originally executed copy of this letter to my attention.</w:t>
      </w:r>
    </w:p>
    <w:p>
      <w:pPr>
        <w:pStyle w:val="Normal"/>
        <w:keepNext w:val="true"/>
        <w:rPr>
          <w:rFonts w:ascii="Arial" w:hAnsi="Arial" w:cs="Arial"/>
          <w:sz w:val="20"/>
        </w:rPr>
      </w:pPr>
      <w:r>
        <w:rPr>
          <w:rFonts w:cs="Arial" w:ascii="Arial" w:hAnsi="Arial"/>
          <w:sz w:val="20"/>
        </w:rPr>
      </w:r>
    </w:p>
    <w:p>
      <w:pPr>
        <w:pStyle w:val="Normal"/>
        <w:keepNext w:val="true"/>
        <w:rPr>
          <w:rFonts w:ascii="Arial" w:hAnsi="Arial" w:cs="Arial"/>
          <w:sz w:val="20"/>
        </w:rPr>
      </w:pPr>
      <w:r>
        <w:rPr>
          <w:rFonts w:cs="Arial" w:ascii="Arial" w:hAnsi="Arial"/>
          <w:sz w:val="20"/>
        </w:rPr>
        <w:t>Thank you for your prompt attention to this matter.</w:t>
      </w:r>
    </w:p>
    <w:p>
      <w:pPr>
        <w:pStyle w:val="Normal"/>
        <w:keepNext w:val="true"/>
        <w:rPr>
          <w:rFonts w:ascii="Arial" w:hAnsi="Arial" w:cs="Arial"/>
          <w:sz w:val="20"/>
        </w:rPr>
      </w:pPr>
      <w:r>
        <w:rPr>
          <w:rFonts w:cs="Arial" w:ascii="Arial" w:hAnsi="Arial"/>
          <w:sz w:val="20"/>
        </w:rPr>
      </w:r>
    </w:p>
    <w:p>
      <w:pPr>
        <w:pStyle w:val="Normal"/>
        <w:keepNext w:val="true"/>
        <w:rPr>
          <w:rFonts w:ascii="Arial" w:hAnsi="Arial" w:cs="Arial"/>
          <w:sz w:val="20"/>
        </w:rPr>
      </w:pPr>
      <w:r>
        <w:rPr>
          <w:rFonts w:cs="Arial" w:ascii="Arial" w:hAnsi="Arial"/>
          <w:sz w:val="20"/>
        </w:rPr>
        <w:t>Yours truly,</w:t>
      </w:r>
    </w:p>
    <w:p>
      <w:pPr>
        <w:pStyle w:val="Normal"/>
        <w:rPr>
          <w:rFonts w:ascii="Arial" w:hAnsi="Arial" w:cs="Arial"/>
          <w:sz w:val="20"/>
        </w:rPr>
      </w:pPr>
      <w:r>
        <w:rPr>
          <w:rFonts w:cs="Arial" w:ascii="Arial" w:hAnsi="Arial"/>
          <w:sz w:val="20"/>
        </w:rPr>
      </w:r>
    </w:p>
    <w:p>
      <w:pPr>
        <w:pStyle w:val="Normal"/>
        <w:rPr>
          <w:rFonts w:ascii="Arial" w:hAnsi="Arial" w:cs="Arial"/>
          <w:b/>
          <w:sz w:val="20"/>
        </w:rPr>
      </w:pPr>
      <w:r>
        <w:rPr>
          <w:rFonts w:cs="Arial" w:ascii="Arial" w:hAnsi="Arial"/>
          <w:b/>
          <w:sz w:val="20"/>
        </w:rPr>
        <w:t>ENRON CANADA CORP.</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P. Robson Milnthorp</w:t>
      </w:r>
    </w:p>
    <w:p>
      <w:pPr>
        <w:pStyle w:val="Normal"/>
        <w:rPr>
          <w:rFonts w:ascii="Arial" w:hAnsi="Arial" w:cs="Arial"/>
          <w:sz w:val="20"/>
        </w:rPr>
      </w:pPr>
      <w:r>
        <w:rPr>
          <w:rFonts w:cs="Arial" w:ascii="Arial" w:hAnsi="Arial"/>
          <w:sz w:val="20"/>
        </w:rPr>
        <w:t>President and Chief Executive Officer</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b/>
          <w:sz w:val="20"/>
        </w:rPr>
      </w:pPr>
      <w:r>
        <w:rPr>
          <w:rFonts w:cs="Arial" w:ascii="Arial" w:hAnsi="Arial"/>
          <w:b/>
          <w:sz w:val="20"/>
        </w:rPr>
        <w:t>ACCEPTED AND AGREED AS OF THE DATE HEREOF</w:t>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t>PETRO-CANADA OIL AND GAS, by a duly authorized</w:t>
      </w:r>
    </w:p>
    <w:p>
      <w:pPr>
        <w:pStyle w:val="Normal"/>
        <w:rPr>
          <w:rFonts w:ascii="Arial" w:hAnsi="Arial" w:cs="Arial"/>
          <w:b/>
          <w:sz w:val="20"/>
        </w:rPr>
      </w:pPr>
      <w:r>
        <w:rPr>
          <w:rFonts w:cs="Arial" w:ascii="Arial" w:hAnsi="Arial"/>
          <w:b/>
          <w:sz w:val="20"/>
        </w:rPr>
        <w:t>partner thereof,</w:t>
      </w:r>
    </w:p>
    <w:p>
      <w:pPr>
        <w:pStyle w:val="Normal"/>
        <w:rPr>
          <w:rFonts w:ascii="Arial" w:hAnsi="Arial" w:cs="Arial"/>
          <w:b/>
          <w:sz w:val="20"/>
        </w:rPr>
      </w:pPr>
      <w:r>
        <w:rPr>
          <w:rFonts w:cs="Arial" w:ascii="Arial" w:hAnsi="Arial"/>
          <w:b/>
          <w:sz w:val="20"/>
        </w:rPr>
      </w:r>
    </w:p>
    <w:p>
      <w:pPr>
        <w:pStyle w:val="Header"/>
        <w:tabs>
          <w:tab w:val="clear" w:pos="4320"/>
          <w:tab w:val="clear" w:pos="8640"/>
        </w:tabs>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Per:</w:t>
        <w:tab/>
      </w:r>
      <w:r>
        <w:rPr>
          <w:rFonts w:cs="Arial" w:ascii="Arial" w:hAnsi="Arial"/>
          <w:sz w:val="20"/>
          <w:u w:val="single"/>
        </w:rPr>
        <w:tab/>
        <w:tab/>
        <w:tab/>
        <w:tab/>
        <w:tab/>
        <w:tab/>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Name:</w:t>
        <w:tab/>
      </w:r>
      <w:r>
        <w:rPr>
          <w:rFonts w:cs="Arial" w:ascii="Arial" w:hAnsi="Arial"/>
          <w:sz w:val="20"/>
          <w:u w:val="single"/>
        </w:rPr>
        <w:tab/>
        <w:tab/>
        <w:tab/>
        <w:tab/>
        <w:tab/>
        <w:tab/>
      </w:r>
    </w:p>
    <w:p>
      <w:pPr>
        <w:pStyle w:val="Normal"/>
        <w:rPr>
          <w:rFonts w:ascii="Arial" w:hAnsi="Arial" w:cs="Arial"/>
          <w:sz w:val="20"/>
        </w:rPr>
      </w:pPr>
      <w:r>
        <w:rPr>
          <w:rFonts w:cs="Arial" w:ascii="Arial" w:hAnsi="Arial"/>
          <w:sz w:val="20"/>
        </w:rPr>
      </w:r>
    </w:p>
    <w:p>
      <w:pPr>
        <w:pStyle w:val="Normal"/>
        <w:rPr>
          <w:rFonts w:ascii="Arial" w:hAnsi="Arial" w:cs="Arial"/>
          <w:sz w:val="22"/>
        </w:rPr>
      </w:pPr>
      <w:r>
        <w:rPr>
          <w:rFonts w:cs="Arial" w:ascii="Arial" w:hAnsi="Arial"/>
          <w:sz w:val="20"/>
        </w:rPr>
        <w:t>Title:</w:t>
        <w:tab/>
      </w:r>
      <w:r>
        <w:rPr>
          <w:rFonts w:cs="Arial" w:ascii="Arial" w:hAnsi="Arial"/>
          <w:sz w:val="20"/>
          <w:u w:val="single"/>
        </w:rPr>
        <w:tab/>
        <w:tab/>
        <w:tab/>
        <w:tab/>
        <w:tab/>
        <w:tab/>
      </w:r>
      <w:r>
        <w:br w:type="page"/>
      </w:r>
    </w:p>
    <w:p>
      <w:pPr>
        <w:pStyle w:val="Normal"/>
        <w:jc w:val="center"/>
        <w:rPr>
          <w:rFonts w:ascii="Arial" w:hAnsi="Arial" w:cs="Arial"/>
          <w:b/>
          <w:sz w:val="20"/>
          <w:u w:val="single"/>
        </w:rPr>
      </w:pPr>
      <w:r>
        <w:rPr>
          <w:rFonts w:cs="Arial" w:ascii="Arial" w:hAnsi="Arial"/>
          <w:b/>
          <w:sz w:val="20"/>
          <w:u w:val="single"/>
        </w:rPr>
        <w:t>Schedule "A"</w:t>
      </w:r>
    </w:p>
    <w:p>
      <w:pPr>
        <w:pStyle w:val="Normal"/>
        <w:jc w:val="center"/>
        <w:rPr>
          <w:rFonts w:ascii="Arial" w:hAnsi="Arial" w:cs="Arial"/>
          <w:b/>
          <w:sz w:val="20"/>
          <w:u w:val="single"/>
        </w:rPr>
      </w:pPr>
      <w:r>
        <w:rPr>
          <w:rFonts w:cs="Arial" w:ascii="Arial" w:hAnsi="Arial"/>
          <w:b/>
          <w:sz w:val="20"/>
          <w:u w:val="single"/>
        </w:rPr>
      </w:r>
    </w:p>
    <w:p>
      <w:pPr>
        <w:pStyle w:val="Normal"/>
        <w:jc w:val="center"/>
        <w:rPr>
          <w:rFonts w:ascii="Arial" w:hAnsi="Arial" w:cs="Arial"/>
          <w:b/>
          <w:sz w:val="20"/>
        </w:rPr>
      </w:pPr>
      <w:r>
        <w:rPr>
          <w:rFonts w:cs="Arial" w:ascii="Arial" w:hAnsi="Arial"/>
          <w:b/>
          <w:sz w:val="20"/>
        </w:rPr>
        <w:t>[Form of ISDA Amendment]</w:t>
      </w:r>
    </w:p>
    <w:sectPr>
      <w:headerReference w:type="default" r:id="rId2"/>
      <w:headerReference w:type="first" r:id="rId3"/>
      <w:footerReference w:type="default" r:id="rId4"/>
      <w:footerReference w:type="first" r:id="rId5"/>
      <w:type w:val="nextPage"/>
      <w:pgSz w:w="12240" w:h="15840"/>
      <w:pgMar w:left="1440" w:right="1440" w:gutter="0" w:header="1440" w:top="1496" w:footer="288"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N)">
    <w:altName w:val="Arial"/>
    <w:charset w:val="00" w:characterSet="windows-1252"/>
    <w:family w:val="swiss"/>
    <w:pitch w:val="variable"/>
  </w:font>
  <w:font w:name="CG Times (WN)">
    <w:altName w:val="Arial"/>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lang w:eastAsia="en-US"/>
      </w:rPr>
    </w:pPr>
    <w:r>
      <w:rPr>
        <w:rFonts w:cs="Arial" w:ascii="Arial" w:hAnsi="Arial"/>
        <w:sz w:val="14"/>
        <w:lang w:eastAsia="en-US"/>
      </w:rPr>
      <w:fldChar w:fldCharType="begin"/>
    </w:r>
    <w:r>
      <w:rPr>
        <w:sz w:val="14"/>
        <w:rFonts w:cs="Arial" w:ascii="Arial" w:hAnsi="Arial"/>
        <w:lang w:eastAsia="en-US"/>
      </w:rPr>
      <w:instrText xml:space="preserve"> FILENAME \p </w:instrText>
    </w:r>
    <w:r>
      <w:rPr>
        <w:sz w:val="14"/>
        <w:rFonts w:cs="Arial" w:ascii="Arial" w:hAnsi="Arial"/>
        <w:lang w:eastAsia="en-US"/>
      </w:rPr>
      <w:fldChar w:fldCharType="separate"/>
    </w:r>
    <w:r>
      <w:rPr>
        <w:sz w:val="14"/>
        <w:rFonts w:cs="Arial" w:ascii="Arial" w:hAnsi="Arial"/>
        <w:lang w:eastAsia="en-US"/>
      </w:rPr>
      <w:t>/mnt/main-storage/datasets/enron-docs/doc/petcan125.master_amendment.doc</w:t>
    </w:r>
    <w:r>
      <w:rPr>
        <w:sz w:val="14"/>
        <w:rFonts w:cs="Arial" w:ascii="Arial" w:hAnsi="Arial"/>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4"/>
      </w:rPr>
      <w:t>LEGAL\CONTRACT\</w:t>
    </w:r>
    <w:r>
      <w:rPr>
        <w:rFonts w:cs="Arial" w:ascii="Arial" w:hAnsi="Arial"/>
        <w:sz w:val="14"/>
      </w:rPr>
      <w:fldChar w:fldCharType="begin"/>
    </w:r>
    <w:r>
      <w:rPr>
        <w:sz w:val="14"/>
        <w:rFonts w:cs="Arial" w:ascii="Arial" w:hAnsi="Arial"/>
      </w:rPr>
      <w:instrText xml:space="preserve"> FILENAME </w:instrText>
    </w:r>
    <w:r>
      <w:rPr>
        <w:sz w:val="14"/>
        <w:rFonts w:cs="Arial" w:ascii="Arial" w:hAnsi="Arial"/>
      </w:rPr>
      <w:fldChar w:fldCharType="separate"/>
    </w:r>
    <w:r>
      <w:rPr>
        <w:sz w:val="14"/>
        <w:rFonts w:cs="Arial" w:ascii="Arial" w:hAnsi="Arial"/>
      </w:rPr>
      <w:t>petcan125.master_amendment.doc</w:t>
    </w:r>
    <w:r>
      <w:rPr>
        <w:sz w:val="14"/>
        <w:rFonts w:cs="Arial" w:ascii="Arial" w:hAnsi="Arial"/>
      </w:rPr>
      <w:fldChar w:fldCharType="end"/>
    </w:r>
    <w:r>
      <w:rPr>
        <w:rFonts w:cs="Arial" w:ascii="Arial" w:hAnsi="Arial"/>
        <w:sz w:val="16"/>
      </w:rPr>
      <w:tab/>
      <w:tab/>
    </w:r>
    <w:r>
      <w:rPr>
        <w:rFonts w:cs="Arial" w:ascii="Arial" w:hAnsi="Arial"/>
        <w:sz w:val="16"/>
      </w:rPr>
      <w:fldChar w:fldCharType="begin"/>
    </w:r>
    <w:r>
      <w:rPr>
        <w:sz w:val="16"/>
        <w:rFonts w:cs="Arial" w:ascii="Arial" w:hAnsi="Arial"/>
      </w:rPr>
      <w:instrText xml:space="preserve"> DATE \@"MMMM\ d', 'yyyy" </w:instrText>
    </w:r>
    <w:r>
      <w:rPr>
        <w:sz w:val="16"/>
        <w:rFonts w:cs="Arial" w:ascii="Arial" w:hAnsi="Arial"/>
      </w:rPr>
      <w:fldChar w:fldCharType="separate"/>
    </w:r>
    <w:r>
      <w:rPr>
        <w:sz w:val="16"/>
        <w:rFonts w:cs="Arial" w:ascii="Arial" w:hAnsi="Arial"/>
      </w:rPr>
      <w:t>September 28, 2025</w:t>
    </w:r>
    <w:r>
      <w:rPr>
        <w:sz w:val="16"/>
        <w:rFonts w:cs="Arial" w:ascii="Arial" w:hAnsi="Arial"/>
      </w:rPr>
      <w:fldChar w:fldCharType="end"/>
    </w:r>
    <w:r>
      <w:rPr>
        <w:rFonts w:cs="Arial" w:ascii="Arial" w:hAnsi="Arial"/>
        <w:sz w:val="16"/>
      </w:rPr>
      <w:t xml:space="preserve">  </w:t>
    </w:r>
    <w:r>
      <w:rPr>
        <w:rFonts w:cs="Arial" w:ascii="Arial" w:hAnsi="Arial"/>
        <w:sz w:val="16"/>
      </w:rPr>
      <w:fldChar w:fldCharType="begin"/>
    </w:r>
    <w:r>
      <w:rPr>
        <w:sz w:val="16"/>
        <w:rFonts w:cs="Arial" w:ascii="Arial" w:hAnsi="Arial"/>
      </w:rPr>
      <w:instrText xml:space="preserve"> DATE \@"M/d/yyyy" </w:instrText>
    </w:r>
    <w:r>
      <w:rPr>
        <w:sz w:val="16"/>
        <w:rFonts w:cs="Arial" w:ascii="Arial" w:hAnsi="Arial"/>
      </w:rPr>
      <w:fldChar w:fldCharType="separate"/>
    </w:r>
    <w:r>
      <w:rPr>
        <w:sz w:val="16"/>
        <w:rFonts w:cs="Arial" w:ascii="Arial" w:hAnsi="Arial"/>
      </w:rPr>
      <w:t>9/28/2025</w:t>
    </w:r>
    <w:r>
      <w:rPr>
        <w:sz w:val="16"/>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sz w:val="20"/>
      </w:rPr>
    </w:pPr>
    <w:r>
      <w:rPr>
        <w:rFonts w:cs="Arial" w:ascii="Arial" w:hAnsi="Arial"/>
        <w:sz w:val="20"/>
      </w:rPr>
    </w:r>
  </w:p>
  <w:p>
    <w:pPr>
      <w:pStyle w:val="Header"/>
      <w:jc w:val="end"/>
      <w:rPr>
        <w:rFonts w:ascii="Arial" w:hAnsi="Arial" w:cs="Arial"/>
        <w:sz w:val="20"/>
      </w:rPr>
    </w:pPr>
    <w:r>
      <w:rPr>
        <w:rFonts w:cs="Arial" w:ascii="Arial" w:hAnsi="Arial"/>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1"/>
      <w:numFmt w:val="decimal"/>
      <w:lvlText w:val="%1."/>
      <w:lvlJc w:val="start"/>
      <w:pPr>
        <w:tabs>
          <w:tab w:val="num" w:pos="720"/>
        </w:tabs>
        <w:ind w:start="720" w:hanging="720"/>
      </w:pPr>
      <w:rPr>
        <w:smallCaps w:val="false"/>
        <w:caps w:val="false"/>
        <w:outline w:val="false"/>
        <w:dstrike w:val="false"/>
        <w:strike w:val="false"/>
        <w:vertAlign w:val="baseline"/>
        <w:position w:val="0"/>
        <w:sz w:val="22"/>
        <w:sz w:val="22"/>
        <w:i w:val="false"/>
        <w:shadow w:val="false"/>
        <w:u w:val="none"/>
        <w:b w:val="false"/>
        <w:vanish w:val="false"/>
        <w:rFonts w:ascii="Arial" w:hAnsi="Arial" w:cs="Arial"/>
        <w:color w:val="auto"/>
      </w:rPr>
    </w:lvl>
    <w:lvl w:ilvl="1">
      <w:start w:val="1"/>
      <w:numFmt w:val="lowerLetter"/>
      <w:lvlText w:val="(%2)"/>
      <w:lvlJc w:val="start"/>
      <w:pPr>
        <w:tabs>
          <w:tab w:val="num" w:pos="1440"/>
        </w:tabs>
        <w:ind w:start="1440" w:hanging="720"/>
      </w:pPr>
      <w:rPr>
        <w:smallCaps w:val="false"/>
        <w:caps w:val="false"/>
        <w:outline w:val="false"/>
        <w:dstrike w:val="false"/>
        <w:strike w:val="false"/>
        <w:vertAlign w:val="baseline"/>
        <w:position w:val="0"/>
        <w:sz w:val="22"/>
        <w:sz w:val="22"/>
        <w:i w:val="false"/>
        <w:shadow w:val="false"/>
        <w:u w:val="none"/>
        <w:b w:val="false"/>
        <w:vanish w:val="false"/>
        <w:rFonts w:ascii="Arial" w:hAnsi="Arial" w:cs="Arial"/>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2"/>
        <w:sz w:val="22"/>
        <w:i w:val="false"/>
        <w:shadow w:val="false"/>
        <w:u w:val="none"/>
        <w:b w:val="false"/>
        <w:vanish w:val="false"/>
        <w:rFonts w:ascii="Arial" w:hAnsi="Arial" w:cs="Arial"/>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2"/>
        <w:sz w:val="22"/>
        <w:i w:val="false"/>
        <w:shadow w:val="false"/>
        <w:u w:val="none"/>
        <w:b w:val="false"/>
        <w:vanish w:val="false"/>
        <w:rFonts w:ascii="Arial" w:hAnsi="Arial" w:cs="Arial"/>
        <w:color w:val="auto"/>
      </w:rPr>
    </w:lvl>
    <w:lvl w:ilvl="4">
      <w:start w:val="1"/>
      <w:numFmt w:val="upperRoman"/>
      <w:lvlText w:val="(%5)"/>
      <w:lvlJc w:val="start"/>
      <w:pPr>
        <w:tabs>
          <w:tab w:val="num" w:pos="3600"/>
        </w:tabs>
        <w:ind w:start="3600" w:hanging="720"/>
      </w:pPr>
      <w:rPr>
        <w:smallCaps w:val="false"/>
        <w:caps w:val="false"/>
        <w:outline w:val="false"/>
        <w:dstrike w:val="false"/>
        <w:strike w:val="false"/>
        <w:vertAlign w:val="baseline"/>
        <w:position w:val="0"/>
        <w:sz w:val="22"/>
        <w:sz w:val="22"/>
        <w:i w:val="false"/>
        <w:shadow w:val="false"/>
        <w:u w:val="none"/>
        <w:b w:val="false"/>
        <w:vanish w:val="false"/>
        <w:rFonts w:ascii="Arial" w:hAnsi="Arial" w:cs="Arial"/>
        <w:color w:val="auto"/>
      </w:rPr>
    </w:lvl>
    <w:lvl w:ilvl="5">
      <w:start w:val="1"/>
      <w:numFmt w:val="decimal"/>
      <w:lvlText w:val="(%6)"/>
      <w:lvlJc w:val="start"/>
      <w:pPr>
        <w:tabs>
          <w:tab w:val="num" w:pos="4320"/>
        </w:tabs>
        <w:ind w:start="4320" w:hanging="720"/>
      </w:pPr>
      <w:rPr>
        <w:smallCaps w:val="false"/>
        <w:caps w:val="false"/>
        <w:outline w:val="false"/>
        <w:dstrike w:val="false"/>
        <w:strike w:val="false"/>
        <w:vertAlign w:val="baseline"/>
        <w:position w:val="0"/>
        <w:sz w:val="22"/>
        <w:sz w:val="22"/>
        <w:i w:val="false"/>
        <w:shadow w:val="false"/>
        <w:u w:val="none"/>
        <w:b w:val="false"/>
        <w:vanish w:val="false"/>
        <w:rFonts w:ascii="Arial" w:hAnsi="Arial" w:cs="Arial"/>
        <w:color w:val="auto"/>
      </w:rPr>
    </w:lvl>
    <w:lvl w:ilvl="6">
      <w:start w:val="1"/>
      <w:numFmt w:val="lowerLetter"/>
      <w:lvlText w:val="%7."/>
      <w:lvlJc w:val="start"/>
      <w:pPr>
        <w:tabs>
          <w:tab w:val="num" w:pos="5040"/>
        </w:tabs>
        <w:ind w:start="5040" w:hanging="720"/>
      </w:pPr>
      <w:rPr>
        <w:smallCaps w:val="false"/>
        <w:caps w:val="false"/>
        <w:outline w:val="false"/>
        <w:dstrike w:val="false"/>
        <w:strike w:val="false"/>
        <w:vertAlign w:val="baseline"/>
        <w:position w:val="0"/>
        <w:sz w:val="22"/>
        <w:sz w:val="22"/>
        <w:i w:val="false"/>
        <w:shadow w:val="false"/>
        <w:u w:val="none"/>
        <w:b w:val="false"/>
        <w:vanish w:val="false"/>
        <w:rFonts w:ascii="Arial" w:hAnsi="Arial" w:cs="Arial"/>
        <w:color w:val="auto"/>
      </w:rPr>
    </w:lvl>
    <w:lvl w:ilvl="7">
      <w:start w:val="1"/>
      <w:numFmt w:val="lowerRoman"/>
      <w:lvlText w:val="%8."/>
      <w:lvlJc w:val="start"/>
      <w:pPr>
        <w:tabs>
          <w:tab w:val="num" w:pos="5760"/>
        </w:tabs>
        <w:ind w:start="5760" w:hanging="720"/>
      </w:pPr>
      <w:rPr>
        <w:smallCaps w:val="false"/>
        <w:caps w:val="false"/>
        <w:outline w:val="false"/>
        <w:dstrike w:val="false"/>
        <w:strike w:val="false"/>
        <w:vertAlign w:val="baseline"/>
        <w:position w:val="0"/>
        <w:sz w:val="22"/>
        <w:sz w:val="22"/>
        <w:i w:val="false"/>
        <w:shadow w:val="false"/>
        <w:u w:val="none"/>
        <w:b w:val="false"/>
        <w:vanish w:val="false"/>
        <w:rFonts w:ascii="Arial" w:hAnsi="Arial" w:cs="Arial"/>
        <w:color w:val="auto"/>
      </w:rPr>
    </w:lvl>
    <w:lvl w:ilvl="8">
      <w:start w:val="1"/>
      <w:numFmt w:val="upperLetter"/>
      <w:lvlText w:val="(%9)"/>
      <w:lvlJc w:val="start"/>
      <w:pPr>
        <w:tabs>
          <w:tab w:val="num" w:pos="6480"/>
        </w:tabs>
        <w:ind w:start="6480" w:hanging="720"/>
      </w:pPr>
      <w:rPr>
        <w:smallCaps w:val="false"/>
        <w:caps w:val="false"/>
        <w:outline w:val="false"/>
        <w:dstrike w:val="false"/>
        <w:strike w:val="false"/>
        <w:vertAlign w:val="baseline"/>
        <w:position w:val="0"/>
        <w:sz w:val="22"/>
        <w:sz w:val="22"/>
        <w:i w:val="false"/>
        <w:shadow w:val="false"/>
        <w:u w:val="none"/>
        <w:b w:val="false"/>
        <w:vanish w:val="false"/>
        <w:rFonts w:ascii="Arial" w:hAnsi="Arial" w:cs="Arial"/>
        <w:color w:val="auto"/>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Univers (WN);Arial" w:hAnsi="Univers (WN);Arial" w:eastAsia="Times New Roman" w:cs="Univers (WN);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Arial" w:hAnsi="CG Times (WN);Arial" w:cs="CG Times (WN);Arial"/>
      <w:b/>
    </w:rPr>
  </w:style>
  <w:style w:type="character" w:styleId="WW8Num1z0">
    <w:name w:val="WW8Num1z0"/>
    <w:qFormat/>
    <w:rPr/>
  </w:style>
  <w:style w:type="character" w:styleId="WW8Num2z0">
    <w:name w:val="WW8Num2z0"/>
    <w:qFormat/>
    <w:rPr>
      <w:rFonts w:ascii="Arial" w:hAnsi="Arial" w:cs="Arial"/>
      <w:b w:val="false"/>
      <w:i w:val="false"/>
      <w:caps w:val="false"/>
      <w:smallCaps w:val="false"/>
      <w:strike w:val="false"/>
      <w:dstrike w:val="false"/>
      <w:outline w:val="false"/>
      <w:shadow w:val="false"/>
      <w:vanish w:val="false"/>
      <w:color w:val="auto"/>
      <w:position w:val="0"/>
      <w:sz w:val="22"/>
      <w:sz w:val="22"/>
      <w:u w:val="none"/>
      <w:vertAlign w:val="baseline"/>
    </w:rPr>
  </w:style>
  <w:style w:type="character" w:styleId="WW8Num3z0">
    <w:name w:val="WW8Num3z0"/>
    <w:qFormat/>
    <w:rPr>
      <w:rFonts w:ascii="Univers (WN);Arial" w:hAnsi="Univers (WN);Arial" w:cs="Univers (WN);Arial"/>
      <w:b w:val="false"/>
      <w:i w:val="false"/>
      <w:sz w:val="18"/>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ainco1Numbering">
    <w:name w:val="Blainco #1 Numbering"/>
    <w:basedOn w:val="Normal"/>
    <w:qFormat/>
    <w:pPr>
      <w:numPr>
        <w:ilvl w:val="0"/>
        <w:numId w:val="3"/>
      </w:numPr>
      <w:jc w:val="both"/>
    </w:pPr>
    <w:rPr>
      <w:rFonts w:ascii="Arial" w:hAnsi="Arial" w:cs="Arial"/>
      <w:sz w:val="22"/>
      <w:lang w:val="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2000-07-10T18:46:00Z</dcterms:created>
  <dc:creator>ushah</dc:creator>
  <dc:description/>
  <cp:keywords>Murphy</cp:keywords>
  <dc:language>en-CA</dc:language>
  <cp:lastModifiedBy>Mark Powell</cp:lastModifiedBy>
  <cp:lastPrinted>2000-07-10T15:16:00Z</cp:lastPrinted>
  <dcterms:modified xsi:type="dcterms:W3CDTF">2000-07-10T18:46:00Z</dcterms:modified>
  <cp:revision>3</cp:revision>
  <dc:subject>letter agreement</dc:subject>
  <dc:title>Murphy Oil Company Ltd.</dc:title>
</cp:coreProperties>
</file>