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caps/>
          <w:sz w:val="32"/>
        </w:rPr>
      </w:pPr>
      <w:r>
        <w:rPr>
          <w:b/>
          <w:caps/>
          <w:sz w:val="32"/>
        </w:rPr>
        <w:t>Todd A. Perry</w:t>
      </w:r>
    </w:p>
    <w:p>
      <w:pPr>
        <w:pStyle w:val="Normal"/>
        <w:rPr>
          <w:b/>
          <w:caps/>
          <w:sz w:val="32"/>
        </w:rPr>
      </w:pPr>
      <w:r>
        <w:rPr>
          <w:b/>
          <w:caps/>
          <w:sz w:val="32"/>
        </w:rPr>
      </w:r>
    </w:p>
    <w:p>
      <w:pPr>
        <w:pStyle w:val="Normal"/>
        <w:rPr/>
      </w:pPr>
      <w:r>
        <w:rPr/>
      </w:r>
    </w:p>
    <w:tbl>
      <w:tblPr>
        <w:tblW w:w="9558" w:type="dxa"/>
        <w:jc w:val="start"/>
        <w:tblInd w:w="0" w:type="dxa"/>
        <w:tblLayout w:type="fixed"/>
        <w:tblCellMar>
          <w:top w:w="0" w:type="dxa"/>
          <w:start w:w="108" w:type="dxa"/>
          <w:bottom w:w="0" w:type="dxa"/>
          <w:end w:w="108" w:type="dxa"/>
        </w:tblCellMar>
      </w:tblPr>
      <w:tblGrid>
        <w:gridCol w:w="4788"/>
        <w:gridCol w:w="3780"/>
        <w:gridCol w:w="990"/>
      </w:tblGrid>
      <w:tr>
        <w:trPr/>
        <w:tc>
          <w:tcPr>
            <w:tcW w:w="4788" w:type="dxa"/>
            <w:tcBorders/>
          </w:tcPr>
          <w:p>
            <w:pPr>
              <w:pStyle w:val="Normal"/>
              <w:rPr/>
            </w:pPr>
            <w:r>
              <w:rPr>
                <w:sz w:val="24"/>
              </w:rPr>
              <w:t>670 West 10</w:t>
            </w:r>
            <w:r>
              <w:rPr>
                <w:sz w:val="24"/>
                <w:vertAlign w:val="superscript"/>
              </w:rPr>
              <w:t>th</w:t>
            </w:r>
            <w:r>
              <w:rPr>
                <w:sz w:val="24"/>
              </w:rPr>
              <w:t xml:space="preserve"> Avenue</w:t>
            </w:r>
          </w:p>
        </w:tc>
        <w:tc>
          <w:tcPr>
            <w:tcW w:w="3780" w:type="dxa"/>
            <w:tcBorders/>
          </w:tcPr>
          <w:p>
            <w:pPr>
              <w:pStyle w:val="Normal"/>
              <w:jc w:val="end"/>
              <w:rPr>
                <w:sz w:val="24"/>
              </w:rPr>
            </w:pPr>
            <w:r>
              <w:rPr>
                <w:sz w:val="24"/>
              </w:rPr>
              <w:t>541.346.1341</w:t>
            </w:r>
          </w:p>
        </w:tc>
        <w:tc>
          <w:tcPr>
            <w:tcW w:w="990" w:type="dxa"/>
            <w:tcBorders/>
          </w:tcPr>
          <w:p>
            <w:pPr>
              <w:pStyle w:val="Normal"/>
              <w:jc w:val="end"/>
              <w:rPr>
                <w:sz w:val="24"/>
              </w:rPr>
            </w:pPr>
            <w:r>
              <w:rPr>
                <w:sz w:val="24"/>
              </w:rPr>
              <w:t xml:space="preserve"> </w:t>
            </w:r>
            <w:r>
              <w:rPr>
                <w:sz w:val="24"/>
              </w:rPr>
              <w:t>(work)</w:t>
            </w:r>
          </w:p>
        </w:tc>
      </w:tr>
      <w:tr>
        <w:trPr/>
        <w:tc>
          <w:tcPr>
            <w:tcW w:w="4788" w:type="dxa"/>
            <w:tcBorders/>
          </w:tcPr>
          <w:p>
            <w:pPr>
              <w:pStyle w:val="Heading1"/>
              <w:ind w:hanging="0" w:start="0"/>
              <w:rPr/>
            </w:pPr>
            <w:r>
              <w:rPr/>
              <w:t>Eugene, OR 97402</w:t>
            </w:r>
          </w:p>
        </w:tc>
        <w:tc>
          <w:tcPr>
            <w:tcW w:w="3780" w:type="dxa"/>
            <w:tcBorders/>
          </w:tcPr>
          <w:p>
            <w:pPr>
              <w:pStyle w:val="Normal"/>
              <w:jc w:val="end"/>
              <w:rPr>
                <w:sz w:val="24"/>
              </w:rPr>
            </w:pPr>
            <w:r>
              <w:rPr>
                <w:sz w:val="24"/>
              </w:rPr>
              <w:t>541.984.1405</w:t>
            </w:r>
          </w:p>
        </w:tc>
        <w:tc>
          <w:tcPr>
            <w:tcW w:w="990" w:type="dxa"/>
            <w:tcBorders/>
          </w:tcPr>
          <w:p>
            <w:pPr>
              <w:pStyle w:val="Normal"/>
              <w:jc w:val="end"/>
              <w:rPr>
                <w:sz w:val="24"/>
              </w:rPr>
            </w:pPr>
            <w:r>
              <w:rPr>
                <w:sz w:val="24"/>
              </w:rPr>
              <w:t xml:space="preserve"> </w:t>
            </w:r>
            <w:r>
              <w:rPr>
                <w:sz w:val="24"/>
              </w:rPr>
              <w:t>(home)</w:t>
            </w:r>
          </w:p>
        </w:tc>
      </w:tr>
      <w:tr>
        <w:trPr/>
        <w:tc>
          <w:tcPr>
            <w:tcW w:w="4788" w:type="dxa"/>
            <w:tcBorders/>
          </w:tcPr>
          <w:p>
            <w:pPr>
              <w:pStyle w:val="Normal"/>
              <w:rPr/>
            </w:pPr>
            <w:hyperlink r:id="rId2">
              <w:r>
                <w:rPr>
                  <w:rStyle w:val="Hyperlink"/>
                  <w:sz w:val="24"/>
                </w:rPr>
                <w:t>taperry@oregon.uoregon.edu</w:t>
              </w:r>
            </w:hyperlink>
          </w:p>
        </w:tc>
        <w:tc>
          <w:tcPr>
            <w:tcW w:w="3780" w:type="dxa"/>
            <w:tcBorders/>
          </w:tcPr>
          <w:p>
            <w:pPr>
              <w:pStyle w:val="Normal"/>
              <w:jc w:val="end"/>
              <w:rPr>
                <w:sz w:val="24"/>
              </w:rPr>
            </w:pPr>
            <w:r>
              <w:rPr>
                <w:sz w:val="24"/>
              </w:rPr>
              <w:t>541.346.3341</w:t>
            </w:r>
          </w:p>
        </w:tc>
        <w:tc>
          <w:tcPr>
            <w:tcW w:w="990" w:type="dxa"/>
            <w:tcBorders/>
          </w:tcPr>
          <w:p>
            <w:pPr>
              <w:pStyle w:val="Normal"/>
              <w:jc w:val="end"/>
              <w:rPr>
                <w:sz w:val="24"/>
              </w:rPr>
            </w:pPr>
            <w:r>
              <w:rPr>
                <w:sz w:val="24"/>
              </w:rPr>
              <w:t>(fax)</w:t>
            </w:r>
          </w:p>
        </w:tc>
      </w:tr>
    </w:tbl>
    <w:p>
      <w:pPr>
        <w:pStyle w:val="Normal"/>
        <w:rPr>
          <w:sz w:val="24"/>
        </w:rPr>
      </w:pPr>
      <w:r>
        <w:rPr>
          <w:sz w:val="24"/>
        </w:rPr>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53340</wp:posOffset>
                </wp:positionV>
                <wp:extent cx="5943600" cy="0"/>
                <wp:effectExtent l="0" t="5080" r="0" b="5080"/>
                <wp:wrapNone/>
                <wp:docPr id="1"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2pt" to="467.95pt,4.2pt" stroked="t" o:allowincell="f" style="position:absolute">
                <v:stroke color="black" weight="9360" joinstyle="miter" endcap="flat"/>
                <v:fill o:detectmouseclick="t" on="false"/>
                <w10:wrap type="none"/>
              </v:line>
            </w:pict>
          </mc:Fallback>
        </mc:AlternateContent>
      </w:r>
    </w:p>
    <w:p>
      <w:pPr>
        <w:pStyle w:val="Heading2"/>
        <w:ind w:hanging="0" w:start="0"/>
        <w:rPr>
          <w:caps/>
        </w:rPr>
      </w:pPr>
      <w:r>
        <w:rPr>
          <w:caps/>
        </w:rPr>
        <w:t>Education</w:t>
      </w:r>
    </w:p>
    <w:p>
      <w:pPr>
        <w:pStyle w:val="Normal"/>
        <w:rPr>
          <w:caps/>
          <w:sz w:val="24"/>
        </w:rPr>
      </w:pPr>
      <w:r>
        <w:rPr>
          <w:caps/>
          <w:sz w:val="24"/>
        </w:rPr>
      </w:r>
    </w:p>
    <w:tbl>
      <w:tblPr>
        <w:tblW w:w="9576" w:type="dxa"/>
        <w:jc w:val="start"/>
        <w:tblInd w:w="0" w:type="dxa"/>
        <w:tblLayout w:type="fixed"/>
        <w:tblCellMar>
          <w:top w:w="0" w:type="dxa"/>
          <w:start w:w="108" w:type="dxa"/>
          <w:bottom w:w="0" w:type="dxa"/>
          <w:end w:w="108" w:type="dxa"/>
        </w:tblCellMar>
      </w:tblPr>
      <w:tblGrid>
        <w:gridCol w:w="6228"/>
        <w:gridCol w:w="3348"/>
      </w:tblGrid>
      <w:tr>
        <w:trPr/>
        <w:tc>
          <w:tcPr>
            <w:tcW w:w="6228" w:type="dxa"/>
            <w:tcBorders/>
          </w:tcPr>
          <w:p>
            <w:pPr>
              <w:pStyle w:val="Heading2"/>
              <w:ind w:hanging="0" w:start="0"/>
              <w:rPr>
                <w:smallCaps/>
              </w:rPr>
            </w:pPr>
            <w:r>
              <w:rPr>
                <w:smallCaps/>
              </w:rPr>
              <w:t>Ph.D. in Finance</w:t>
            </w:r>
          </w:p>
        </w:tc>
        <w:tc>
          <w:tcPr>
            <w:tcW w:w="3348" w:type="dxa"/>
            <w:tcBorders/>
          </w:tcPr>
          <w:p>
            <w:pPr>
              <w:pStyle w:val="Normal"/>
              <w:jc w:val="end"/>
              <w:rPr>
                <w:smallCaps/>
                <w:sz w:val="24"/>
              </w:rPr>
            </w:pPr>
            <w:r>
              <w:rPr>
                <w:smallCaps/>
                <w:sz w:val="24"/>
              </w:rPr>
              <w:t>2000</w:t>
            </w:r>
          </w:p>
        </w:tc>
      </w:tr>
      <w:tr>
        <w:trPr/>
        <w:tc>
          <w:tcPr>
            <w:tcW w:w="9576" w:type="dxa"/>
            <w:gridSpan w:val="2"/>
            <w:tcBorders/>
          </w:tcPr>
          <w:p>
            <w:pPr>
              <w:pStyle w:val="Normal"/>
              <w:rPr>
                <w:sz w:val="24"/>
              </w:rPr>
            </w:pPr>
            <w:r>
              <w:rPr>
                <w:sz w:val="24"/>
              </w:rPr>
              <w:t xml:space="preserve">     </w:t>
            </w:r>
            <w:r>
              <w:rPr>
                <w:sz w:val="24"/>
              </w:rPr>
              <w:t>University of Oregon, Eugene, OR</w:t>
            </w:r>
          </w:p>
        </w:tc>
      </w:tr>
      <w:tr>
        <w:trPr>
          <w:trHeight w:val="108" w:hRule="atLeast"/>
        </w:trPr>
        <w:tc>
          <w:tcPr>
            <w:tcW w:w="9576" w:type="dxa"/>
            <w:gridSpan w:val="2"/>
            <w:tcBorders/>
          </w:tcPr>
          <w:p>
            <w:pPr>
              <w:pStyle w:val="Normal"/>
              <w:snapToGrid w:val="false"/>
              <w:rPr>
                <w:sz w:val="24"/>
              </w:rPr>
            </w:pPr>
            <w:r>
              <w:rPr>
                <w:sz w:val="24"/>
              </w:rPr>
            </w:r>
          </w:p>
        </w:tc>
      </w:tr>
      <w:tr>
        <w:trPr>
          <w:trHeight w:val="342" w:hRule="atLeast"/>
        </w:trPr>
        <w:tc>
          <w:tcPr>
            <w:tcW w:w="9576" w:type="dxa"/>
            <w:gridSpan w:val="2"/>
            <w:tcBorders/>
          </w:tcPr>
          <w:p>
            <w:pPr>
              <w:pStyle w:val="Normal"/>
              <w:rPr>
                <w:sz w:val="24"/>
              </w:rPr>
            </w:pPr>
            <w:r>
              <w:rPr>
                <w:sz w:val="24"/>
              </w:rPr>
              <w:t xml:space="preserve">          </w:t>
            </w:r>
            <w:r>
              <w:rPr>
                <w:sz w:val="24"/>
              </w:rPr>
              <w:t>Dissertation: “Valuing Assets with Real Options: An Empirical Analysis”</w:t>
            </w:r>
          </w:p>
        </w:tc>
      </w:tr>
      <w:tr>
        <w:trPr>
          <w:trHeight w:val="343" w:hRule="atLeast"/>
        </w:trPr>
        <w:tc>
          <w:tcPr>
            <w:tcW w:w="9576" w:type="dxa"/>
            <w:gridSpan w:val="2"/>
            <w:tcBorders/>
          </w:tcPr>
          <w:p>
            <w:pPr>
              <w:pStyle w:val="Normal"/>
              <w:rPr>
                <w:sz w:val="24"/>
              </w:rPr>
            </w:pPr>
            <w:r>
              <w:rPr>
                <w:sz w:val="24"/>
              </w:rPr>
              <w:t xml:space="preserve">          </w:t>
            </w:r>
            <w:r>
              <w:rPr>
                <w:sz w:val="24"/>
              </w:rPr>
              <w:t>Graduate Student Research Award (1999/2000)</w:t>
            </w:r>
          </w:p>
        </w:tc>
      </w:tr>
      <w:tr>
        <w:trPr>
          <w:trHeight w:val="343" w:hRule="atLeast"/>
        </w:trPr>
        <w:tc>
          <w:tcPr>
            <w:tcW w:w="9576" w:type="dxa"/>
            <w:gridSpan w:val="2"/>
            <w:tcBorders/>
          </w:tcPr>
          <w:p>
            <w:pPr>
              <w:pStyle w:val="Normal"/>
              <w:rPr>
                <w:sz w:val="24"/>
              </w:rPr>
            </w:pPr>
            <w:r>
              <w:rPr>
                <w:sz w:val="24"/>
              </w:rPr>
              <w:t xml:space="preserve">          </w:t>
            </w:r>
            <w:r>
              <w:rPr>
                <w:sz w:val="24"/>
              </w:rPr>
              <w:t>Appraisal Institute Education Trust Graduate Scholarship (1999/2000)</w:t>
            </w:r>
          </w:p>
        </w:tc>
      </w:tr>
      <w:tr>
        <w:trPr>
          <w:trHeight w:val="343" w:hRule="atLeast"/>
        </w:trPr>
        <w:tc>
          <w:tcPr>
            <w:tcW w:w="9576" w:type="dxa"/>
            <w:gridSpan w:val="2"/>
            <w:tcBorders/>
          </w:tcPr>
          <w:p>
            <w:pPr>
              <w:pStyle w:val="Normal"/>
              <w:rPr>
                <w:sz w:val="24"/>
              </w:rPr>
            </w:pPr>
            <w:r>
              <w:rPr>
                <w:sz w:val="24"/>
              </w:rPr>
              <w:t xml:space="preserve">          </w:t>
            </w:r>
            <w:r>
              <w:rPr>
                <w:sz w:val="24"/>
              </w:rPr>
              <w:t>FMA Doctoral Student Seminar (1999)</w:t>
            </w:r>
          </w:p>
        </w:tc>
      </w:tr>
      <w:tr>
        <w:trPr>
          <w:trHeight w:val="343" w:hRule="atLeast"/>
        </w:trPr>
        <w:tc>
          <w:tcPr>
            <w:tcW w:w="9576" w:type="dxa"/>
            <w:gridSpan w:val="2"/>
            <w:tcBorders/>
          </w:tcPr>
          <w:p>
            <w:pPr>
              <w:pStyle w:val="Normal"/>
              <w:rPr>
                <w:sz w:val="24"/>
              </w:rPr>
            </w:pPr>
            <w:r>
              <w:rPr>
                <w:sz w:val="24"/>
              </w:rPr>
              <w:t xml:space="preserve">          </w:t>
            </w:r>
            <w:r>
              <w:rPr>
                <w:sz w:val="24"/>
              </w:rPr>
              <w:t>Lundquist College of Business Graduate Teaching Award (1995/1996)</w:t>
            </w:r>
          </w:p>
        </w:tc>
      </w:tr>
      <w:tr>
        <w:trPr/>
        <w:tc>
          <w:tcPr>
            <w:tcW w:w="9576" w:type="dxa"/>
            <w:gridSpan w:val="2"/>
            <w:tcBorders/>
          </w:tcPr>
          <w:p>
            <w:pPr>
              <w:pStyle w:val="Normal"/>
              <w:snapToGrid w:val="false"/>
              <w:rPr>
                <w:sz w:val="24"/>
              </w:rPr>
            </w:pPr>
            <w:r>
              <w:rPr>
                <w:sz w:val="24"/>
              </w:rPr>
            </w:r>
          </w:p>
        </w:tc>
      </w:tr>
      <w:tr>
        <w:trPr/>
        <w:tc>
          <w:tcPr>
            <w:tcW w:w="6228" w:type="dxa"/>
            <w:tcBorders/>
          </w:tcPr>
          <w:p>
            <w:pPr>
              <w:pStyle w:val="Heading2"/>
              <w:ind w:hanging="0" w:start="0"/>
              <w:rPr>
                <w:smallCaps/>
              </w:rPr>
            </w:pPr>
            <w:r>
              <w:rPr>
                <w:smallCaps/>
              </w:rPr>
              <w:t>M.B.A. in Finance</w:t>
            </w:r>
          </w:p>
        </w:tc>
        <w:tc>
          <w:tcPr>
            <w:tcW w:w="3348" w:type="dxa"/>
            <w:tcBorders/>
          </w:tcPr>
          <w:p>
            <w:pPr>
              <w:pStyle w:val="Normal"/>
              <w:jc w:val="end"/>
              <w:rPr>
                <w:smallCaps/>
                <w:sz w:val="24"/>
              </w:rPr>
            </w:pPr>
            <w:r>
              <w:rPr>
                <w:smallCaps/>
                <w:sz w:val="24"/>
              </w:rPr>
              <w:t>1994</w:t>
            </w:r>
          </w:p>
        </w:tc>
      </w:tr>
      <w:tr>
        <w:trPr/>
        <w:tc>
          <w:tcPr>
            <w:tcW w:w="9576" w:type="dxa"/>
            <w:gridSpan w:val="2"/>
            <w:tcBorders/>
          </w:tcPr>
          <w:p>
            <w:pPr>
              <w:pStyle w:val="Normal"/>
              <w:rPr>
                <w:sz w:val="24"/>
              </w:rPr>
            </w:pPr>
            <w:r>
              <w:rPr>
                <w:sz w:val="24"/>
              </w:rPr>
              <w:t xml:space="preserve">     </w:t>
            </w:r>
            <w:r>
              <w:rPr>
                <w:sz w:val="24"/>
              </w:rPr>
              <w:t>University of California at Davis, Davis, CA</w:t>
            </w:r>
          </w:p>
        </w:tc>
      </w:tr>
      <w:tr>
        <w:trPr/>
        <w:tc>
          <w:tcPr>
            <w:tcW w:w="9576" w:type="dxa"/>
            <w:gridSpan w:val="2"/>
            <w:tcBorders/>
          </w:tcPr>
          <w:p>
            <w:pPr>
              <w:pStyle w:val="Normal"/>
              <w:snapToGrid w:val="false"/>
              <w:rPr>
                <w:sz w:val="24"/>
              </w:rPr>
            </w:pPr>
            <w:r>
              <w:rPr>
                <w:sz w:val="24"/>
              </w:rPr>
            </w:r>
          </w:p>
        </w:tc>
      </w:tr>
      <w:tr>
        <w:trPr/>
        <w:tc>
          <w:tcPr>
            <w:tcW w:w="6228" w:type="dxa"/>
            <w:tcBorders/>
          </w:tcPr>
          <w:p>
            <w:pPr>
              <w:pStyle w:val="Heading2"/>
              <w:ind w:hanging="0" w:start="0"/>
              <w:rPr>
                <w:smallCaps/>
              </w:rPr>
            </w:pPr>
            <w:r>
              <w:rPr>
                <w:smallCaps/>
              </w:rPr>
              <w:t>B.S. in Petroleum and Natural Gas Engineering</w:t>
            </w:r>
          </w:p>
        </w:tc>
        <w:tc>
          <w:tcPr>
            <w:tcW w:w="3348" w:type="dxa"/>
            <w:tcBorders/>
          </w:tcPr>
          <w:p>
            <w:pPr>
              <w:pStyle w:val="Normal"/>
              <w:jc w:val="end"/>
              <w:rPr>
                <w:smallCaps/>
                <w:sz w:val="24"/>
              </w:rPr>
            </w:pPr>
            <w:r>
              <w:rPr>
                <w:smallCaps/>
                <w:sz w:val="24"/>
              </w:rPr>
              <w:t>1985</w:t>
            </w:r>
          </w:p>
        </w:tc>
      </w:tr>
      <w:tr>
        <w:trPr/>
        <w:tc>
          <w:tcPr>
            <w:tcW w:w="6228" w:type="dxa"/>
            <w:tcBorders/>
          </w:tcPr>
          <w:p>
            <w:pPr>
              <w:pStyle w:val="Normal"/>
              <w:rPr>
                <w:sz w:val="24"/>
              </w:rPr>
            </w:pPr>
            <w:r>
              <w:rPr>
                <w:sz w:val="24"/>
              </w:rPr>
              <w:t xml:space="preserve">     </w:t>
            </w:r>
            <w:r>
              <w:rPr>
                <w:sz w:val="24"/>
              </w:rPr>
              <w:t>Pennsylvania State University, University Park, PA</w:t>
            </w:r>
          </w:p>
        </w:tc>
        <w:tc>
          <w:tcPr>
            <w:tcW w:w="3348" w:type="dxa"/>
            <w:tcBorders/>
          </w:tcPr>
          <w:p>
            <w:pPr>
              <w:pStyle w:val="Normal"/>
              <w:snapToGrid w:val="false"/>
              <w:rPr>
                <w:sz w:val="24"/>
              </w:rPr>
            </w:pPr>
            <w:r>
              <w:rPr>
                <w:sz w:val="24"/>
              </w:rPr>
            </w:r>
          </w:p>
        </w:tc>
      </w:tr>
    </w:tbl>
    <w:p>
      <w:pPr>
        <w:pStyle w:val="Normal"/>
        <w:rPr>
          <w:sz w:val="24"/>
        </w:rPr>
      </w:pPr>
      <w:r>
        <w:rPr>
          <w:sz w:val="24"/>
        </w:rPr>
      </w:r>
    </w:p>
    <w:p>
      <w:pPr>
        <w:pStyle w:val="Normal"/>
        <w:rPr>
          <w:sz w:val="24"/>
        </w:rPr>
      </w:pPr>
      <w:r>
        <w:rPr>
          <w:sz w:val="24"/>
        </w:rPr>
      </w:r>
    </w:p>
    <w:p>
      <w:pPr>
        <w:pStyle w:val="Heading2"/>
        <w:ind w:hanging="0" w:start="0"/>
        <w:rPr>
          <w:caps/>
        </w:rPr>
      </w:pPr>
      <w:r>
        <w:rPr>
          <w:caps/>
        </w:rPr>
        <w:t>Work Experience</w:t>
      </w:r>
    </w:p>
    <w:p>
      <w:pPr>
        <w:pStyle w:val="Normal"/>
        <w:rPr>
          <w:caps/>
          <w:sz w:val="24"/>
        </w:rPr>
      </w:pPr>
      <w:r>
        <w:rPr>
          <w:caps/>
          <w:sz w:val="24"/>
        </w:rPr>
      </w:r>
    </w:p>
    <w:p>
      <w:pPr>
        <w:pStyle w:val="Normal"/>
        <w:rPr/>
      </w:pPr>
      <w:r>
        <w:rPr>
          <w:sz w:val="24"/>
          <w:u w:val="single"/>
        </w:rPr>
        <w:t>Research Assistant and Instructor</w:t>
      </w:r>
      <w:r>
        <w:rPr>
          <w:sz w:val="24"/>
        </w:rPr>
        <w:t>, University of Oregon, Eugene, OR (1994 - present)</w:t>
      </w:r>
    </w:p>
    <w:p>
      <w:pPr>
        <w:pStyle w:val="BodyTextIndent"/>
        <w:ind w:start="360" w:end="0"/>
        <w:rPr/>
      </w:pPr>
      <w:r>
        <w:rPr/>
        <w:t>Primary research assistant to finance faculty on a variety of projects to be published in academic journals.  Developed computer programs to perform statistical analyses on diverse data sets.  Maintained and optimized computer databases of financial and accounting data used in faculty research.  Also assembled and organized raw financial data.  Solely responsible for preparing and teaching ten sections of four undergraduate courses: Risk Management, Investments, Managerial Economics, and Corporate Finance.</w:t>
      </w:r>
    </w:p>
    <w:p>
      <w:pPr>
        <w:pStyle w:val="Normal"/>
        <w:rPr>
          <w:sz w:val="24"/>
        </w:rPr>
      </w:pPr>
      <w:r>
        <w:rPr>
          <w:sz w:val="24"/>
        </w:rPr>
      </w:r>
    </w:p>
    <w:p>
      <w:pPr>
        <w:pStyle w:val="Normal"/>
        <w:rPr/>
      </w:pPr>
      <w:r>
        <w:rPr>
          <w:sz w:val="24"/>
          <w:u w:val="single"/>
        </w:rPr>
        <w:t>Financial Consultant</w:t>
      </w:r>
      <w:r>
        <w:rPr>
          <w:sz w:val="24"/>
        </w:rPr>
        <w:t>, Harold W. Bertholf, Inc., Sacramento, CA (1998 - 1999)</w:t>
      </w:r>
    </w:p>
    <w:p>
      <w:pPr>
        <w:pStyle w:val="Heading3"/>
        <w:rPr/>
      </w:pPr>
      <w:r>
        <w:rPr/>
        <w:t>Collected and analyzed data to provide sensitivity analysis on historical cost of capital estimates for domestic oil- and gas-producing firms.</w:t>
      </w:r>
    </w:p>
    <w:p>
      <w:pPr>
        <w:pStyle w:val="Normal"/>
        <w:rPr>
          <w:sz w:val="24"/>
        </w:rPr>
      </w:pPr>
      <w:r>
        <w:rPr>
          <w:sz w:val="24"/>
        </w:rPr>
      </w:r>
    </w:p>
    <w:p>
      <w:pPr>
        <w:pStyle w:val="Normal"/>
        <w:rPr/>
      </w:pPr>
      <w:r>
        <w:rPr>
          <w:sz w:val="24"/>
          <w:u w:val="single"/>
        </w:rPr>
        <w:t>Financial Consultant</w:t>
      </w:r>
      <w:r>
        <w:rPr>
          <w:sz w:val="24"/>
        </w:rPr>
        <w:t>, McKinsey and Company, Cleveland, OH (1997 - 1998)</w:t>
      </w:r>
    </w:p>
    <w:p>
      <w:pPr>
        <w:pStyle w:val="BodyTextIndent"/>
        <w:ind w:start="360" w:end="0"/>
        <w:rPr>
          <w:b/>
        </w:rPr>
      </w:pPr>
      <w:r>
        <w:rPr/>
        <w:t>Analyzed characteristics of institutional investors to provide statistical evidence on the efficacy of their corporate governance programs.  Results included in “The motivation and impact of pension fund activism,” Journal of Financial Economics 52 (1999), by Diane Del Guercio and Jennifer Hawkins.</w:t>
      </w:r>
      <w:r>
        <w:br w:type="page"/>
      </w:r>
    </w:p>
    <w:p>
      <w:pPr>
        <w:pStyle w:val="Normal"/>
        <w:rPr/>
      </w:pPr>
      <w:r>
        <w:rPr>
          <w:sz w:val="24"/>
          <w:u w:val="single"/>
        </w:rPr>
        <w:t>Equity Trader</w:t>
      </w:r>
      <w:r>
        <w:rPr>
          <w:sz w:val="24"/>
        </w:rPr>
        <w:t>, California Public Employees’ Retirement System, Sacramento, CA (1993 - 1994)</w:t>
      </w:r>
    </w:p>
    <w:p>
      <w:pPr>
        <w:pStyle w:val="BodyTextIndent2"/>
        <w:jc w:val="both"/>
        <w:rPr/>
      </w:pPr>
      <w:r>
        <w:rPr/>
        <w:t>One of three equity traders responsible for executing trades on the $18 billion domestic equity portion of the fund.  Participated in both primary and secondary market trading.  Evaluated IPOs and secondary offerings for investment potential.  Traded through brokers, using SuperDot, and using electronic trading networks (e.g., Instinet).</w:t>
      </w:r>
    </w:p>
    <w:p>
      <w:pPr>
        <w:pStyle w:val="Normal"/>
        <w:ind w:start="360" w:end="0"/>
        <w:rPr>
          <w:sz w:val="24"/>
        </w:rPr>
      </w:pPr>
      <w:r>
        <w:rPr>
          <w:sz w:val="24"/>
        </w:rPr>
        <w:t xml:space="preserve"> </w:t>
      </w:r>
    </w:p>
    <w:p>
      <w:pPr>
        <w:pStyle w:val="Normal"/>
        <w:rPr/>
      </w:pPr>
      <w:r>
        <w:rPr>
          <w:sz w:val="24"/>
          <w:u w:val="single"/>
        </w:rPr>
        <w:t>Petroleum Engineer</w:t>
      </w:r>
      <w:r>
        <w:rPr>
          <w:sz w:val="24"/>
        </w:rPr>
        <w:t>, Harold W. Bertholf, Inc., Sacramento, CA (1987 - 1993)</w:t>
      </w:r>
    </w:p>
    <w:p>
      <w:pPr>
        <w:pStyle w:val="Normal"/>
        <w:ind w:start="360" w:end="0"/>
        <w:jc w:val="both"/>
        <w:rPr>
          <w:sz w:val="24"/>
        </w:rPr>
      </w:pPr>
      <w:r>
        <w:rPr>
          <w:sz w:val="24"/>
        </w:rPr>
        <w:t>Annually valued over $500 million in oil- and gas-producing properties.  Obtained and analyzed transactions data on petroleum property sales.  Estimated future production volumes, operating costs, discount rates, and future prices for use in discounted cash flow analyses.  Prepared for and testified in assessment appeals hearings.  Performed an appraisal of Chevron’s Perth Amboy, NJ refinery for the years 1985 through 1988.</w:t>
      </w:r>
    </w:p>
    <w:p>
      <w:pPr>
        <w:pStyle w:val="Normal"/>
        <w:jc w:val="both"/>
        <w:rPr>
          <w:sz w:val="24"/>
        </w:rPr>
      </w:pPr>
      <w:r>
        <w:rPr>
          <w:sz w:val="24"/>
        </w:rPr>
      </w:r>
    </w:p>
    <w:p>
      <w:pPr>
        <w:pStyle w:val="Normal"/>
        <w:rPr/>
      </w:pPr>
      <w:r>
        <w:rPr>
          <w:sz w:val="24"/>
          <w:u w:val="single"/>
        </w:rPr>
        <w:t>Petroleum Lease Operator</w:t>
      </w:r>
      <w:r>
        <w:rPr>
          <w:sz w:val="24"/>
        </w:rPr>
        <w:t>, Operators Inc., Bakersfield, CA (1985 - 1986)</w:t>
      </w:r>
    </w:p>
    <w:p>
      <w:pPr>
        <w:pStyle w:val="BodyTextIndent"/>
        <w:ind w:start="360" w:end="0"/>
        <w:rPr/>
      </w:pPr>
      <w:r>
        <w:rPr/>
        <w:t>Responsible for the daily operation and maintenance of three heavy oil-producing properties using thermal recovery methods.  Optimized oil production, repaired lease equipment, and monitored daily oil production and steam injection volumes.</w:t>
      </w:r>
    </w:p>
    <w:p>
      <w:pPr>
        <w:pStyle w:val="Normal"/>
        <w:rPr>
          <w:sz w:val="24"/>
        </w:rPr>
      </w:pPr>
      <w:r>
        <w:rPr>
          <w:sz w:val="24"/>
        </w:rPr>
      </w:r>
    </w:p>
    <w:p>
      <w:pPr>
        <w:pStyle w:val="Normal"/>
        <w:rPr>
          <w:sz w:val="24"/>
        </w:rPr>
      </w:pPr>
      <w:r>
        <w:rPr>
          <w:sz w:val="24"/>
        </w:rPr>
      </w:r>
    </w:p>
    <w:p>
      <w:pPr>
        <w:pStyle w:val="Heading2"/>
        <w:ind w:hanging="0" w:start="0"/>
        <w:rPr>
          <w:caps/>
        </w:rPr>
      </w:pPr>
      <w:r>
        <w:rPr>
          <w:caps/>
        </w:rPr>
        <w:t>Computer Skills</w:t>
      </w:r>
    </w:p>
    <w:p>
      <w:pPr>
        <w:pStyle w:val="Normal"/>
        <w:rPr>
          <w:caps/>
          <w:sz w:val="24"/>
        </w:rPr>
      </w:pPr>
      <w:r>
        <w:rPr>
          <w:caps/>
          <w:sz w:val="24"/>
        </w:rPr>
      </w:r>
    </w:p>
    <w:p>
      <w:pPr>
        <w:pStyle w:val="Normal"/>
        <w:ind w:start="360" w:end="0"/>
        <w:rPr>
          <w:sz w:val="24"/>
        </w:rPr>
      </w:pPr>
      <w:r>
        <w:rPr>
          <w:sz w:val="24"/>
        </w:rPr>
        <w:t>Programming: SAS, FORTRAN, Pascal, HTML, TSP, LIMDEP</w:t>
      </w:r>
    </w:p>
    <w:p>
      <w:pPr>
        <w:pStyle w:val="Normal"/>
        <w:ind w:start="360" w:end="0"/>
        <w:rPr>
          <w:sz w:val="24"/>
        </w:rPr>
      </w:pPr>
      <w:r>
        <w:rPr>
          <w:sz w:val="24"/>
        </w:rPr>
        <w:t>Systems: UNIX, VMS, Windows 95, Windows NT, DOS</w:t>
      </w:r>
    </w:p>
    <w:p>
      <w:pPr>
        <w:pStyle w:val="Normal"/>
        <w:rPr>
          <w:sz w:val="24"/>
        </w:rPr>
      </w:pPr>
      <w:r>
        <w:rPr>
          <w:sz w:val="24"/>
        </w:rPr>
      </w:r>
    </w:p>
    <w:p>
      <w:pPr>
        <w:pStyle w:val="Normal"/>
        <w:rPr>
          <w:sz w:val="24"/>
        </w:rPr>
      </w:pPr>
      <w:r>
        <w:rPr>
          <w:sz w:val="24"/>
        </w:rPr>
      </w:r>
    </w:p>
    <w:p>
      <w:pPr>
        <w:pStyle w:val="Heading2"/>
        <w:ind w:hanging="0" w:start="0"/>
        <w:rPr>
          <w:caps/>
        </w:rPr>
      </w:pPr>
      <w:r>
        <w:rPr>
          <w:caps/>
        </w:rPr>
        <w:t>Associations</w:t>
      </w:r>
    </w:p>
    <w:p>
      <w:pPr>
        <w:pStyle w:val="Normal"/>
        <w:rPr>
          <w:caps/>
          <w:sz w:val="24"/>
        </w:rPr>
      </w:pPr>
      <w:r>
        <w:rPr>
          <w:caps/>
          <w:sz w:val="24"/>
        </w:rPr>
      </w:r>
    </w:p>
    <w:p>
      <w:pPr>
        <w:pStyle w:val="Normal"/>
        <w:ind w:start="360" w:end="0"/>
        <w:rPr>
          <w:sz w:val="24"/>
        </w:rPr>
      </w:pPr>
      <w:r>
        <w:rPr>
          <w:sz w:val="24"/>
        </w:rPr>
        <w:t>American Finance Association</w:t>
      </w:r>
    </w:p>
    <w:p>
      <w:pPr>
        <w:pStyle w:val="Heading3"/>
        <w:rPr/>
      </w:pPr>
      <w:r>
        <w:rPr/>
        <w:t>Financial Management Association</w:t>
      </w:r>
    </w:p>
    <w:p>
      <w:pPr>
        <w:pStyle w:val="Normal"/>
        <w:rPr>
          <w:sz w:val="24"/>
        </w:rPr>
      </w:pPr>
      <w:r>
        <w:rPr>
          <w:sz w:val="24"/>
        </w:rPr>
      </w:r>
    </w:p>
    <w:p>
      <w:pPr>
        <w:pStyle w:val="Normal"/>
        <w:rPr>
          <w:sz w:val="24"/>
        </w:rPr>
      </w:pPr>
      <w:r>
        <w:rPr>
          <w:sz w:val="24"/>
        </w:rPr>
      </w:r>
    </w:p>
    <w:p>
      <w:pPr>
        <w:pStyle w:val="Heading2"/>
        <w:ind w:hanging="0" w:start="0"/>
        <w:rPr/>
      </w:pPr>
      <w:r>
        <w:rPr/>
        <w:t>CERTIFICATIONS</w:t>
      </w:r>
    </w:p>
    <w:p>
      <w:pPr>
        <w:pStyle w:val="Normal"/>
        <w:rPr>
          <w:sz w:val="24"/>
        </w:rPr>
      </w:pPr>
      <w:r>
        <w:rPr>
          <w:sz w:val="24"/>
        </w:rPr>
      </w:r>
    </w:p>
    <w:p>
      <w:pPr>
        <w:pStyle w:val="Heading3"/>
        <w:rPr/>
      </w:pPr>
      <w:r>
        <w:rPr/>
        <w:t>Engineer-In-Training, License Number XE071921</w:t>
      </w:r>
    </w:p>
    <w:p>
      <w:pPr>
        <w:pStyle w:val="Normal"/>
        <w:ind w:start="360" w:end="0"/>
        <w:rPr>
          <w:sz w:val="24"/>
        </w:rPr>
      </w:pPr>
      <w:r>
        <w:rPr>
          <w:sz w:val="24"/>
        </w:rPr>
        <w:t>Certified Appraiser for Property Tax Purposes, State of California, Number 6532</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ind w:hanging="0" w:start="360" w:end="0"/>
      <w:outlineLvl w:val="2"/>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z w:val="24"/>
    </w:rPr>
  </w:style>
  <w:style w:type="paragraph" w:styleId="BodyTextIndent2">
    <w:name w:val="Body Text Indent 2"/>
    <w:basedOn w:val="Normal"/>
    <w:qFormat/>
    <w:pPr>
      <w:ind w:hanging="0" w:start="36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aperry@oregon.uoregon.ed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2000-04-12T18:55:00Z</dcterms:created>
  <dc:creator>Lundquist College of Business</dc:creator>
  <dc:description/>
  <dc:language>en-CA</dc:language>
  <cp:lastModifiedBy>Lundquist College of Business</cp:lastModifiedBy>
  <cp:lastPrinted>2000-05-03T15:00:00Z</cp:lastPrinted>
  <dcterms:modified xsi:type="dcterms:W3CDTF">2000-05-03T19:58:00Z</dcterms:modified>
  <cp:revision>6</cp:revision>
  <dc:subject/>
  <dc:title>TODD A</dc:title>
</cp:coreProperties>
</file>