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580" w:type="dxa"/>
        <w:jc w:val="start"/>
        <w:tblInd w:w="468" w:type="dxa"/>
        <w:tblLayout w:type="fixed"/>
        <w:tblCellMar>
          <w:top w:w="0" w:type="dxa"/>
          <w:start w:w="108" w:type="dxa"/>
          <w:bottom w:w="0" w:type="dxa"/>
          <w:end w:w="108" w:type="dxa"/>
        </w:tblCellMar>
      </w:tblPr>
      <w:tblGrid>
        <w:gridCol w:w="1620"/>
        <w:gridCol w:w="3870"/>
        <w:gridCol w:w="1530"/>
        <w:gridCol w:w="1350"/>
        <w:gridCol w:w="6210"/>
      </w:tblGrid>
      <w:tr>
        <w:trPr>
          <w:trHeight w:val="345" w:hRule="atLeast"/>
        </w:trPr>
        <w:tc>
          <w:tcPr>
            <w:tcW w:w="1620" w:type="dxa"/>
            <w:vMerge w:val="restart"/>
            <w:tcBorders>
              <w:top w:val="single" w:sz="4" w:space="0" w:color="000000"/>
              <w:start w:val="single" w:sz="4" w:space="0" w:color="000000"/>
              <w:bottom w:val="single" w:sz="4" w:space="0" w:color="000000"/>
              <w:end w:val="single" w:sz="4" w:space="0" w:color="000000"/>
            </w:tcBorders>
            <w:shd w:fill="B2B2B2" w:val="clear"/>
          </w:tcPr>
          <w:p>
            <w:pPr>
              <w:pStyle w:val="Heading4"/>
              <w:ind w:hanging="0" w:start="0"/>
              <w:rPr/>
            </w:pPr>
            <w:r>
              <w:rPr/>
              <w:t>Agency Name</w:t>
            </w:r>
          </w:p>
        </w:tc>
        <w:tc>
          <w:tcPr>
            <w:tcW w:w="387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Permit or Approval Description</w:t>
            </w:r>
          </w:p>
        </w:tc>
        <w:tc>
          <w:tcPr>
            <w:tcW w:w="2880" w:type="dxa"/>
            <w:gridSpan w:val="2"/>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Timeframe (months)</w:t>
            </w:r>
          </w:p>
        </w:tc>
        <w:tc>
          <w:tcPr>
            <w:tcW w:w="621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Remarks</w:t>
            </w:r>
          </w:p>
        </w:tc>
      </w:tr>
      <w:tr>
        <w:trPr>
          <w:trHeight w:val="345" w:hRule="atLeast"/>
        </w:trPr>
        <w:tc>
          <w:tcPr>
            <w:tcW w:w="162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387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1530"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Preparation</w:t>
            </w:r>
          </w:p>
        </w:tc>
        <w:tc>
          <w:tcPr>
            <w:tcW w:w="1350" w:type="dxa"/>
            <w:tcBorders>
              <w:top w:val="single" w:sz="4" w:space="0" w:color="000000"/>
              <w:start w:val="single" w:sz="4" w:space="0" w:color="000000"/>
              <w:bottom w:val="single" w:sz="4" w:space="0" w:color="000000"/>
              <w:end w:val="single" w:sz="4" w:space="0" w:color="000000"/>
            </w:tcBorders>
            <w:shd w:fill="B2B2B2" w:val="clear"/>
          </w:tcPr>
          <w:p>
            <w:pPr>
              <w:pStyle w:val="Heading1"/>
              <w:ind w:hanging="0" w:start="0"/>
              <w:rPr>
                <w:sz w:val="22"/>
              </w:rPr>
            </w:pPr>
            <w:r>
              <w:rPr>
                <w:sz w:val="22"/>
              </w:rPr>
              <w:t>Review</w:t>
            </w:r>
          </w:p>
          <w:p>
            <w:pPr>
              <w:pStyle w:val="Normal"/>
              <w:jc w:val="center"/>
              <w:rPr>
                <w:b/>
                <w:sz w:val="22"/>
              </w:rPr>
            </w:pPr>
            <w:r>
              <w:rPr>
                <w:b/>
                <w:sz w:val="22"/>
              </w:rPr>
              <w:t>And</w:t>
            </w:r>
          </w:p>
          <w:p>
            <w:pPr>
              <w:pStyle w:val="Normal"/>
              <w:jc w:val="center"/>
              <w:rPr>
                <w:b/>
                <w:sz w:val="22"/>
              </w:rPr>
            </w:pPr>
            <w:r>
              <w:rPr>
                <w:b/>
                <w:sz w:val="22"/>
              </w:rPr>
              <w:t>Approval</w:t>
            </w:r>
          </w:p>
        </w:tc>
        <w:tc>
          <w:tcPr>
            <w:tcW w:w="621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#1 -- Environmental Assessment</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See comments below -- #2.</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 and New York City DEP</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#2 -- State Environmental Quality Review Act (SEQRA)/ City Environmental Quality Review Act (CEQRA)</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Satisfaction of the State Environmental Quality Review Act process before any state agency may take action.  New York Environmental Conservation Law Article 8; 6 NYCRR Part 617.</w:t>
            </w:r>
          </w:p>
          <w:p>
            <w:pPr>
              <w:pStyle w:val="Normal"/>
              <w:rPr/>
            </w:pPr>
            <w:r>
              <w:rPr/>
            </w:r>
          </w:p>
          <w:p>
            <w:pPr>
              <w:pStyle w:val="BodyTextIndent2"/>
              <w:ind w:start="0" w:end="0"/>
              <w:jc w:val="both"/>
              <w:rPr>
                <w:sz w:val="20"/>
              </w:rPr>
            </w:pPr>
            <w:r>
              <w:rPr>
                <w:sz w:val="20"/>
              </w:rPr>
              <w:t>A permit and certificate to operate is required for most air pollution control units, including fuel oil burning equipment.  New York City Administrative Code §§ 24-121 and 122, Title 27, Chapters 1 and 4; 15 Rules of the City of New York ("RCNY") Chapter 2; 2 RCNY § 16-01; New York City Charter § 488.</w:t>
            </w:r>
          </w:p>
          <w:p>
            <w:pPr>
              <w:pStyle w:val="BodyTextIndent2"/>
              <w:jc w:val="both"/>
              <w:rPr>
                <w:sz w:val="20"/>
              </w:rPr>
            </w:pPr>
            <w:r>
              <w:rPr>
                <w:sz w:val="20"/>
              </w:rPr>
            </w:r>
          </w:p>
          <w:p>
            <w:pPr>
              <w:pStyle w:val="BodyTextIndent2"/>
              <w:ind w:start="0" w:end="0"/>
              <w:jc w:val="both"/>
              <w:rPr>
                <w:sz w:val="20"/>
              </w:rPr>
            </w:pPr>
            <w:r>
              <w:rPr>
                <w:sz w:val="20"/>
              </w:rPr>
              <w:t xml:space="preserve">Permit to install refrigeration or air conditioning equipment in any building supplied with City-owned water; air conditioning systems in excess of two tons must recirculate cooling water.  15 RCNY § 20-07.  </w:t>
            </w:r>
          </w:p>
          <w:p>
            <w:pPr>
              <w:pStyle w:val="BodyTextIndent2"/>
              <w:jc w:val="both"/>
              <w:rPr>
                <w:sz w:val="20"/>
              </w:rPr>
            </w:pPr>
            <w:r>
              <w:rPr>
                <w:sz w:val="20"/>
              </w:rPr>
            </w:r>
          </w:p>
          <w:p>
            <w:pPr>
              <w:pStyle w:val="Normal"/>
              <w:rPr/>
            </w:pPr>
            <w:r>
              <w:rPr/>
              <w:t>Permit for a water tap or a metered wet connection.  15 RCNY Chapter 20.  Permit for sewer connection for discharge of sewage and storm water into City's sewers.  New York City Administrative Code Title 24, Chapter 5; 15 RCNY Chapter 19.</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#3 -- New Source Review (NSR)/Air Permit</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Permit to construct an air pollution source; permit to operate an air pollution source.  The type of permit (e.g. state facility permit or Title V facility permit) will depend on the facility's potential-to-emit.  Queens County is included in a severe ozone and a carbon monoxide non-attainment area.  Therefore, if a new source will have a potential-to-emit 25 tons of nitrogen oxides or volatile organic compounds per year or more, or 50 tons of carbon monoxide per year or more, it is a major source for permitting purposes and must obtain a Title V facility permit.  Otherwise, if a new source is below these thresholds, it may be permitted with a state facility permit.  Note: the New York State Department of Environmental Conservation has not received full delegation from the United States Environmental Protection Agency to implement the Prevention of Significant Deterioration Program.  As a result, the New York State Department of Environmental Conservation performs the primary review of all air permit applications under the Prevention of Significant Deterioration Program, but the United States Environmental Protection Agency retains the ultimate authority over all such determinations.  Environmental Conservation Law Article 19; 6 NYCRR Parts 200, 201, 227, 231.</w:t>
            </w:r>
          </w:p>
        </w:tc>
      </w:tr>
    </w:tbl>
    <w:p>
      <w:pPr>
        <w:pStyle w:val="Normal"/>
        <w:rPr/>
      </w:pPr>
      <w:r>
        <w:br w:type="page"/>
      </w:r>
      <w:r>
        <w:rPr/>
      </w:r>
    </w:p>
    <w:tbl>
      <w:tblPr>
        <w:tblW w:w="14580" w:type="dxa"/>
        <w:jc w:val="start"/>
        <w:tblInd w:w="468" w:type="dxa"/>
        <w:tblLayout w:type="fixed"/>
        <w:tblCellMar>
          <w:top w:w="0" w:type="dxa"/>
          <w:start w:w="108" w:type="dxa"/>
          <w:bottom w:w="0" w:type="dxa"/>
          <w:end w:w="108" w:type="dxa"/>
        </w:tblCellMar>
      </w:tblPr>
      <w:tblGrid>
        <w:gridCol w:w="1620"/>
        <w:gridCol w:w="3870"/>
        <w:gridCol w:w="1530"/>
        <w:gridCol w:w="1350"/>
        <w:gridCol w:w="6210"/>
      </w:tblGrid>
      <w:tr>
        <w:trPr>
          <w:trHeight w:val="345" w:hRule="atLeast"/>
        </w:trPr>
        <w:tc>
          <w:tcPr>
            <w:tcW w:w="162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Agency Name</w:t>
            </w:r>
          </w:p>
        </w:tc>
        <w:tc>
          <w:tcPr>
            <w:tcW w:w="387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Permit or Approval Description</w:t>
            </w:r>
          </w:p>
        </w:tc>
        <w:tc>
          <w:tcPr>
            <w:tcW w:w="2880" w:type="dxa"/>
            <w:gridSpan w:val="2"/>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Timeframe (months)</w:t>
            </w:r>
          </w:p>
        </w:tc>
        <w:tc>
          <w:tcPr>
            <w:tcW w:w="621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Remarks</w:t>
            </w:r>
          </w:p>
        </w:tc>
      </w:tr>
      <w:tr>
        <w:trPr>
          <w:trHeight w:val="345" w:hRule="atLeast"/>
        </w:trPr>
        <w:tc>
          <w:tcPr>
            <w:tcW w:w="162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387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1530"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Preparation</w:t>
            </w:r>
          </w:p>
        </w:tc>
        <w:tc>
          <w:tcPr>
            <w:tcW w:w="1350" w:type="dxa"/>
            <w:tcBorders>
              <w:top w:val="single" w:sz="4" w:space="0" w:color="000000"/>
              <w:start w:val="single" w:sz="4" w:space="0" w:color="000000"/>
              <w:bottom w:val="single" w:sz="4" w:space="0" w:color="000000"/>
              <w:end w:val="single" w:sz="4" w:space="0" w:color="000000"/>
            </w:tcBorders>
            <w:shd w:fill="B2B2B2" w:val="clear"/>
          </w:tcPr>
          <w:p>
            <w:pPr>
              <w:pStyle w:val="Heading1"/>
              <w:ind w:hanging="0" w:start="0"/>
              <w:rPr>
                <w:sz w:val="22"/>
              </w:rPr>
            </w:pPr>
            <w:r>
              <w:rPr>
                <w:sz w:val="22"/>
              </w:rPr>
              <w:t>Review</w:t>
            </w:r>
          </w:p>
          <w:p>
            <w:pPr>
              <w:pStyle w:val="Normal"/>
              <w:jc w:val="center"/>
              <w:rPr>
                <w:b/>
                <w:sz w:val="22"/>
              </w:rPr>
            </w:pPr>
            <w:r>
              <w:rPr>
                <w:b/>
                <w:sz w:val="22"/>
              </w:rPr>
              <w:t>And</w:t>
            </w:r>
          </w:p>
          <w:p>
            <w:pPr>
              <w:pStyle w:val="Normal"/>
              <w:jc w:val="center"/>
              <w:rPr>
                <w:b/>
                <w:sz w:val="22"/>
              </w:rPr>
            </w:pPr>
            <w:r>
              <w:rPr>
                <w:b/>
                <w:sz w:val="22"/>
              </w:rPr>
              <w:t>Approval</w:t>
            </w:r>
          </w:p>
        </w:tc>
        <w:tc>
          <w:tcPr>
            <w:tcW w:w="621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#4 – SPDES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Permit for the discharge of a pollutant into the waters of the State.  New York Environmental Conservation Law § 17-0803; 6 NYCRR Part 751.</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#5 -- Consolidation of Permits/Joint Application Form</w:t>
            </w:r>
          </w:p>
          <w:p>
            <w:pPr>
              <w:pStyle w:val="Normal"/>
              <w:numPr>
                <w:ilvl w:val="0"/>
                <w:numId w:val="2"/>
              </w:numPr>
              <w:tabs>
                <w:tab w:val="clear" w:pos="720"/>
                <w:tab w:val="left" w:pos="1080" w:leader="none"/>
              </w:tabs>
              <w:ind w:hanging="360" w:start="1080" w:end="0"/>
              <w:rPr/>
            </w:pPr>
            <w:r>
              <w:rPr/>
              <w:t xml:space="preserve">#6 -- Water Quality Certification </w:t>
            </w:r>
          </w:p>
          <w:p>
            <w:pPr>
              <w:pStyle w:val="Normal"/>
              <w:numPr>
                <w:ilvl w:val="0"/>
                <w:numId w:val="2"/>
              </w:numPr>
              <w:tabs>
                <w:tab w:val="clear" w:pos="720"/>
                <w:tab w:val="left" w:pos="1080" w:leader="none"/>
              </w:tabs>
              <w:ind w:hanging="360" w:start="1080" w:end="0"/>
              <w:rPr/>
            </w:pPr>
            <w:r>
              <w:rPr/>
              <w:t>#7 -- Tidal Wetlands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 xml:space="preserve">Water Quality and Tidal Wetland Certification is included within the filing for Joint Application. </w:t>
            </w:r>
          </w:p>
          <w:p>
            <w:pPr>
              <w:pStyle w:val="Normal"/>
              <w:rPr/>
            </w:pPr>
            <w:r>
              <w:rPr/>
            </w:r>
          </w:p>
          <w:p>
            <w:pPr>
              <w:pStyle w:val="Normal"/>
              <w:numPr>
                <w:ilvl w:val="0"/>
                <w:numId w:val="3"/>
              </w:numPr>
              <w:ind w:hanging="360" w:start="1080" w:end="0"/>
              <w:rPr/>
            </w:pPr>
            <w:r>
              <w:rPr/>
              <w:t>Certification that project will comply with water quality requirements.  33 USC § 1341; New York Environmental Conservation Law § 17-0301; 6 NYCRR § 608.9.</w:t>
            </w:r>
          </w:p>
          <w:p>
            <w:pPr>
              <w:pStyle w:val="Normal"/>
              <w:numPr>
                <w:ilvl w:val="0"/>
                <w:numId w:val="3"/>
              </w:numPr>
              <w:ind w:hanging="360" w:start="1080" w:end="0"/>
              <w:rPr/>
            </w:pPr>
            <w:r>
              <w:rPr/>
              <w:t>Permit for the installation of electric, gas, sewer, water or other utilities.  Applicant must also conform to setback requirements for structures in excess of 100 square feet.  New York Environmental Conservation Law § 25-0302; 6 NYCRR Part 608.</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DEC Regional Office</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#8 – Registration of Bulk Storage of Petroleum</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All petroleum storage facilities with a capacity over 1,100 gallons must be registered.  New York Environmental Conservation Law § 17-1001; 6 NYCRR Part 612.</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#9 -- Construction of Docking and Mooring Facilities Permit</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BodyText"/>
              <w:rPr/>
            </w:pPr>
            <w:r>
              <w:rPr/>
              <w:t>Permit for excavation or placement of fill in navigable waters, wetlands, marshes.  New York Environmental Conservation Law §§ 15-0503, 17-0303; 6 NYCRR § 608.5.</w:t>
            </w:r>
          </w:p>
          <w:p>
            <w:pPr>
              <w:pStyle w:val="Normal"/>
              <w:rPr/>
            </w:pPr>
            <w:r>
              <w:rPr/>
            </w:r>
          </w:p>
          <w:p>
            <w:pPr>
              <w:pStyle w:val="Normal"/>
              <w:rPr/>
            </w:pPr>
            <w:r>
              <w:rPr/>
              <w:t>Permit for placing/mooring a structure above non-state-owned submerged lands.  New York Environmental Conservation Law §§ 15-0503, 17-0303; 6 NYCRR § 608.4.</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#10 – Application for Public Water Supply Permit</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May not need to file for application since the barges will utilize the existing Keyspan facilities water supply.</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#11 -- Coastal Assessment Form</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#12 – Visual Assessment Form</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#13 – Record of Compliance</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NYISO</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#14 – ICAP Supplier Requirement</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Approval for participation in the New York State electric energy markets through the New York State Independent System Operator.  Federal Energy Regulatory Commission Docket Number ER97-1523-000.</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FAA</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#15 – FAA Stack Height Approval</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Notice to the Administrator of the proposed construction of an object affecting navigable air space.  49 United States Code ("USC") § 40103; 14 Code of Federal Regulations ("CFR") Part 77.</w:t>
            </w:r>
          </w:p>
        </w:tc>
      </w:tr>
    </w:tbl>
    <w:p>
      <w:pPr>
        <w:pStyle w:val="Normal"/>
        <w:rPr/>
      </w:pPr>
      <w:r>
        <w:br w:type="page"/>
      </w:r>
      <w:r>
        <w:rPr/>
      </w:r>
    </w:p>
    <w:tbl>
      <w:tblPr>
        <w:tblW w:w="14580" w:type="dxa"/>
        <w:jc w:val="start"/>
        <w:tblInd w:w="468" w:type="dxa"/>
        <w:tblLayout w:type="fixed"/>
        <w:tblCellMar>
          <w:top w:w="0" w:type="dxa"/>
          <w:start w:w="108" w:type="dxa"/>
          <w:bottom w:w="0" w:type="dxa"/>
          <w:end w:w="108" w:type="dxa"/>
        </w:tblCellMar>
      </w:tblPr>
      <w:tblGrid>
        <w:gridCol w:w="1620"/>
        <w:gridCol w:w="3870"/>
        <w:gridCol w:w="1530"/>
        <w:gridCol w:w="1350"/>
        <w:gridCol w:w="6210"/>
      </w:tblGrid>
      <w:tr>
        <w:trPr>
          <w:trHeight w:val="345" w:hRule="atLeast"/>
        </w:trPr>
        <w:tc>
          <w:tcPr>
            <w:tcW w:w="162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Agency Name</w:t>
            </w:r>
          </w:p>
        </w:tc>
        <w:tc>
          <w:tcPr>
            <w:tcW w:w="387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Permit or Approval Description</w:t>
            </w:r>
          </w:p>
        </w:tc>
        <w:tc>
          <w:tcPr>
            <w:tcW w:w="2880" w:type="dxa"/>
            <w:gridSpan w:val="2"/>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Timeframe (months)</w:t>
            </w:r>
          </w:p>
        </w:tc>
        <w:tc>
          <w:tcPr>
            <w:tcW w:w="621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Remarks</w:t>
            </w:r>
          </w:p>
        </w:tc>
      </w:tr>
      <w:tr>
        <w:trPr>
          <w:trHeight w:val="345" w:hRule="atLeast"/>
        </w:trPr>
        <w:tc>
          <w:tcPr>
            <w:tcW w:w="162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387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1530"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Preparation</w:t>
            </w:r>
          </w:p>
        </w:tc>
        <w:tc>
          <w:tcPr>
            <w:tcW w:w="1350" w:type="dxa"/>
            <w:tcBorders>
              <w:top w:val="single" w:sz="4" w:space="0" w:color="000000"/>
              <w:start w:val="single" w:sz="4" w:space="0" w:color="000000"/>
              <w:bottom w:val="single" w:sz="4" w:space="0" w:color="000000"/>
              <w:end w:val="single" w:sz="4" w:space="0" w:color="000000"/>
            </w:tcBorders>
            <w:shd w:fill="B2B2B2" w:val="clear"/>
          </w:tcPr>
          <w:p>
            <w:pPr>
              <w:pStyle w:val="Heading1"/>
              <w:ind w:hanging="0" w:start="0"/>
              <w:rPr>
                <w:sz w:val="22"/>
              </w:rPr>
            </w:pPr>
            <w:r>
              <w:rPr>
                <w:sz w:val="22"/>
              </w:rPr>
              <w:t>Review</w:t>
            </w:r>
          </w:p>
          <w:p>
            <w:pPr>
              <w:pStyle w:val="Normal"/>
              <w:jc w:val="center"/>
              <w:rPr>
                <w:b/>
                <w:sz w:val="22"/>
              </w:rPr>
            </w:pPr>
            <w:r>
              <w:rPr>
                <w:b/>
                <w:sz w:val="22"/>
              </w:rPr>
              <w:t>And</w:t>
            </w:r>
          </w:p>
          <w:p>
            <w:pPr>
              <w:pStyle w:val="Normal"/>
              <w:jc w:val="center"/>
              <w:rPr>
                <w:b/>
                <w:sz w:val="22"/>
              </w:rPr>
            </w:pPr>
            <w:r>
              <w:rPr>
                <w:b/>
                <w:sz w:val="22"/>
              </w:rPr>
              <w:t>Approval</w:t>
            </w:r>
          </w:p>
        </w:tc>
        <w:tc>
          <w:tcPr>
            <w:tcW w:w="621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State Historical Preservation Society</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#16 – State Historical Preservation Signoff</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BodyTextIndent3"/>
              <w:ind w:start="0" w:end="0"/>
              <w:jc w:val="both"/>
              <w:rPr/>
            </w:pPr>
            <w:r>
              <w:rPr>
                <w:sz w:val="20"/>
              </w:rPr>
              <w:t>Approval that federal and state agency actions will not potentially affect historic properties.  16 USC § 470a; 36 CFR Part 800; New York Parks, Recreation and Historic Preservation Law § 14.09; 9 NYCRR Part 428</w:t>
            </w:r>
            <w:r>
              <w:rPr/>
              <w: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DEC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#17 – Threatened/Endangered Species Signoff</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US Coast Guard</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#18 – US Coast Guard Certification</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Permit for a commercial mooring in special anchorage areas; permit for an anchorage for greater than 30 days.  33 USC § 471; 33 CFR §§ 110.1, 110.60, 110.155.  In addition, the United States Coast Guard Activities New York is an involved agency for purposes of other federal and city permits.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USArmy Corp of Engineers</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#19 – USArmy Corp of Engineers 10/404 Permit</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BodyTextIndent"/>
              <w:ind w:hanging="0" w:start="0" w:end="0"/>
              <w:jc w:val="both"/>
              <w:rPr>
                <w:sz w:val="20"/>
              </w:rPr>
            </w:pPr>
            <w:r>
              <w:rPr>
                <w:sz w:val="20"/>
              </w:rPr>
              <w:t>Permit for the discharge of dredge or fill materials into navigable waters.  33 USC §§ 403, 404; 33 CFR §§ 320-330.</w:t>
            </w:r>
          </w:p>
          <w:p>
            <w:pPr>
              <w:pStyle w:val="Header"/>
              <w:tabs>
                <w:tab w:val="clear" w:pos="4320"/>
                <w:tab w:val="clear" w:pos="8640"/>
              </w:tabs>
              <w:rPr>
                <w:sz w:val="20"/>
              </w:rPr>
            </w:pPr>
            <w:r>
              <w:rPr>
                <w:sz w:val="20"/>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Office of General Services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Mooring Permit</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Permit/lease/easement for placing/mooring a structure above state-owned submerged lands.  New York Public Lands Law § 75; 9 New York Codes Rules and Regulations ("NYCRR") Part 270.</w:t>
            </w:r>
          </w:p>
          <w:p>
            <w:pPr>
              <w:pStyle w:val="Normal"/>
              <w:rPr/>
            </w:pPr>
            <w:r>
              <w:rPr/>
            </w:r>
          </w:p>
          <w:p>
            <w:pPr>
              <w:pStyle w:val="Normal"/>
              <w:rPr/>
            </w:pPr>
            <w:r>
              <w:rPr/>
              <w:t>This permit may be identical to #9 above.</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State Public Service Commission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Approval for the construction of a generation facility</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Approval to construct a fixture used for the generation of electricity.  New York Public Service Law §§ 2, 68.</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City Department of Buildings</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Permit to construct a building</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t>Work permit to construct a building.  New York City Administrative Code § 26-207.  The following permits are also required:  foundation and earthwork permits; plumbing permits and equipment work permits, except when the plans for such work are included in and from a part of the plans for the construction of the new buildings.  New York City Administrative Code §§ 27-147, 27-149, 27-656.  An equipment work permit is required for the installation of any fire suppression piping systems.  New York City Administrative Code § 27-180.</w:t>
            </w:r>
          </w:p>
        </w:tc>
      </w:tr>
    </w:tbl>
    <w:p>
      <w:pPr>
        <w:pStyle w:val="Normal"/>
        <w:rPr/>
      </w:pPr>
      <w:r>
        <w:br w:type="page"/>
      </w:r>
      <w:r>
        <w:rPr/>
      </w:r>
    </w:p>
    <w:tbl>
      <w:tblPr>
        <w:tblW w:w="14580" w:type="dxa"/>
        <w:jc w:val="start"/>
        <w:tblInd w:w="468" w:type="dxa"/>
        <w:tblLayout w:type="fixed"/>
        <w:tblCellMar>
          <w:top w:w="0" w:type="dxa"/>
          <w:start w:w="108" w:type="dxa"/>
          <w:bottom w:w="0" w:type="dxa"/>
          <w:end w:w="108" w:type="dxa"/>
        </w:tblCellMar>
      </w:tblPr>
      <w:tblGrid>
        <w:gridCol w:w="1620"/>
        <w:gridCol w:w="3870"/>
        <w:gridCol w:w="1530"/>
        <w:gridCol w:w="1350"/>
        <w:gridCol w:w="6210"/>
      </w:tblGrid>
      <w:tr>
        <w:trPr>
          <w:trHeight w:val="345" w:hRule="atLeast"/>
        </w:trPr>
        <w:tc>
          <w:tcPr>
            <w:tcW w:w="162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Agency Name</w:t>
            </w:r>
          </w:p>
        </w:tc>
        <w:tc>
          <w:tcPr>
            <w:tcW w:w="387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Permit or Approval Description</w:t>
            </w:r>
          </w:p>
        </w:tc>
        <w:tc>
          <w:tcPr>
            <w:tcW w:w="2880" w:type="dxa"/>
            <w:gridSpan w:val="2"/>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Timeframe (months)</w:t>
            </w:r>
          </w:p>
        </w:tc>
        <w:tc>
          <w:tcPr>
            <w:tcW w:w="621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Remarks</w:t>
            </w:r>
          </w:p>
        </w:tc>
      </w:tr>
      <w:tr>
        <w:trPr>
          <w:trHeight w:val="345" w:hRule="atLeast"/>
        </w:trPr>
        <w:tc>
          <w:tcPr>
            <w:tcW w:w="162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387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1530"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Preparation</w:t>
            </w:r>
          </w:p>
        </w:tc>
        <w:tc>
          <w:tcPr>
            <w:tcW w:w="1350" w:type="dxa"/>
            <w:tcBorders>
              <w:top w:val="single" w:sz="4" w:space="0" w:color="000000"/>
              <w:start w:val="single" w:sz="4" w:space="0" w:color="000000"/>
              <w:bottom w:val="single" w:sz="4" w:space="0" w:color="000000"/>
              <w:end w:val="single" w:sz="4" w:space="0" w:color="000000"/>
            </w:tcBorders>
            <w:shd w:fill="B2B2B2" w:val="clear"/>
          </w:tcPr>
          <w:p>
            <w:pPr>
              <w:pStyle w:val="Heading1"/>
              <w:ind w:hanging="0" w:start="0"/>
              <w:rPr>
                <w:sz w:val="22"/>
              </w:rPr>
            </w:pPr>
            <w:r>
              <w:rPr>
                <w:sz w:val="22"/>
              </w:rPr>
              <w:t>Review</w:t>
            </w:r>
          </w:p>
          <w:p>
            <w:pPr>
              <w:pStyle w:val="Normal"/>
              <w:jc w:val="center"/>
              <w:rPr>
                <w:b/>
                <w:sz w:val="22"/>
              </w:rPr>
            </w:pPr>
            <w:r>
              <w:rPr>
                <w:b/>
                <w:sz w:val="22"/>
              </w:rPr>
              <w:t>And</w:t>
            </w:r>
          </w:p>
          <w:p>
            <w:pPr>
              <w:pStyle w:val="Normal"/>
              <w:jc w:val="center"/>
              <w:rPr>
                <w:b/>
                <w:sz w:val="22"/>
              </w:rPr>
            </w:pPr>
            <w:r>
              <w:rPr>
                <w:b/>
                <w:sz w:val="22"/>
              </w:rPr>
              <w:t>Approval</w:t>
            </w:r>
          </w:p>
        </w:tc>
        <w:tc>
          <w:tcPr>
            <w:tcW w:w="621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City Department of Planning</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Waterfront Revitalization Program Consistency Review</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BodyText3"/>
              <w:rPr>
                <w:sz w:val="20"/>
              </w:rPr>
            </w:pPr>
            <w:r>
              <w:rPr>
                <w:sz w:val="20"/>
              </w:rPr>
              <w:t>Any waterfront-related action will be subject to Waterfront Revitalization Program consistency review.  62 RCNY Chapter 4; New York City Charter § 197-a.</w:t>
            </w:r>
          </w:p>
          <w:p>
            <w:pPr>
              <w:pStyle w:val="Normal"/>
              <w:ind w:start="720" w:end="0"/>
              <w:jc w:val="both"/>
              <w:rPr>
                <w:sz w:val="20"/>
              </w:rPr>
            </w:pPr>
            <w:r>
              <w:rPr>
                <w:sz w:val="20"/>
              </w:rPr>
            </w:r>
          </w:p>
          <w:p>
            <w:pPr>
              <w:pStyle w:val="BodyText"/>
              <w:rPr/>
            </w:pPr>
            <w:r>
              <w:rPr/>
              <w:t>Written approval must be obtained from the Commissioner of the Department of Business Services to unload, load, discharge or store any material, fluid, gas or substance of any explosive, flammable, radioactive or hazardous nature upon any waterfront property at designated locations and an applicant must comply with applicable rules and regulations of the Coast Guard, Fire Department and Department of Health of the City of New York, or any other Federal, State or City Agency.  66 RCNY § 2-11.</w:t>
            </w:r>
          </w:p>
          <w:p>
            <w:pPr>
              <w:pStyle w:val="Normal"/>
              <w:ind w:start="720" w:end="0"/>
              <w:jc w:val="both"/>
              <w:rPr/>
            </w:pPr>
            <w:r>
              <w:rPr/>
            </w:r>
          </w:p>
          <w:p>
            <w:pPr>
              <w:pStyle w:val="BodyText"/>
              <w:rPr/>
            </w:pPr>
            <w:r>
              <w:rPr/>
              <w:t>Written approval must be obtained from the Commissioner of the Department of Business Services to tie, anchor and make fast any vessel, barge, ship or floating structure at or about any wharf property or marginal street.  66 RCNY § 2-12.</w:t>
            </w:r>
          </w:p>
          <w:p>
            <w:pPr>
              <w:pStyle w:val="BodyTextIndent2"/>
              <w:ind w:start="0" w:end="0"/>
              <w:jc w:val="both"/>
              <w:rPr>
                <w:sz w:val="20"/>
              </w:rPr>
            </w:pPr>
            <w:r>
              <w:rPr>
                <w:sz w:val="20"/>
              </w:rPr>
            </w:r>
          </w:p>
          <w:p>
            <w:pPr>
              <w:pStyle w:val="BodyTextIndent2"/>
              <w:ind w:start="0" w:end="0"/>
              <w:jc w:val="both"/>
              <w:rPr>
                <w:sz w:val="20"/>
              </w:rPr>
            </w:pPr>
            <w:r>
              <w:rPr>
                <w:sz w:val="20"/>
              </w:rPr>
              <w:t>Satisfaction of the City Environmental Quality Review process as part of the State Environmental Quality Review Act.  62 RCNY Chapters 5 and 6; New York City Charter §§ 192(e) and 197-a.  Any application for an action is to be submitted to the Department of City Planning.  62 RCNY § 2-02.</w:t>
            </w:r>
          </w:p>
          <w:p>
            <w:pPr>
              <w:pStyle w:val="Normal"/>
              <w:rPr>
                <w:sz w:val="20"/>
              </w:rPr>
            </w:pPr>
            <w:r>
              <w:rPr>
                <w:sz w:val="20"/>
              </w:rPr>
            </w:r>
          </w:p>
          <w:p>
            <w:pPr>
              <w:pStyle w:val="Normal"/>
              <w:rPr/>
            </w:pPr>
            <w:r>
              <w:rPr/>
              <w:t>Community Board 14, covering Far Rockaway, has the authority to conduct a public hearing and adopt and submit a written recommendation concerning any application within Queens County.  62 Rules of the City of New York § 2-03; New York City Charter § 191.</w:t>
            </w:r>
          </w:p>
        </w:tc>
      </w:tr>
    </w:tbl>
    <w:p>
      <w:pPr>
        <w:pStyle w:val="Normal"/>
        <w:rPr/>
      </w:pPr>
      <w:r>
        <w:br w:type="page"/>
      </w:r>
      <w:r>
        <w:rPr/>
      </w:r>
    </w:p>
    <w:tbl>
      <w:tblPr>
        <w:tblW w:w="14580" w:type="dxa"/>
        <w:jc w:val="start"/>
        <w:tblInd w:w="468" w:type="dxa"/>
        <w:tblLayout w:type="fixed"/>
        <w:tblCellMar>
          <w:top w:w="0" w:type="dxa"/>
          <w:start w:w="108" w:type="dxa"/>
          <w:bottom w:w="0" w:type="dxa"/>
          <w:end w:w="108" w:type="dxa"/>
        </w:tblCellMar>
      </w:tblPr>
      <w:tblGrid>
        <w:gridCol w:w="1620"/>
        <w:gridCol w:w="3870"/>
        <w:gridCol w:w="1530"/>
        <w:gridCol w:w="1350"/>
        <w:gridCol w:w="6210"/>
      </w:tblGrid>
      <w:tr>
        <w:trPr>
          <w:trHeight w:val="345" w:hRule="atLeast"/>
        </w:trPr>
        <w:tc>
          <w:tcPr>
            <w:tcW w:w="162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Agency Name</w:t>
            </w:r>
          </w:p>
        </w:tc>
        <w:tc>
          <w:tcPr>
            <w:tcW w:w="387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Permit or Approval Description</w:t>
            </w:r>
          </w:p>
        </w:tc>
        <w:tc>
          <w:tcPr>
            <w:tcW w:w="2880" w:type="dxa"/>
            <w:gridSpan w:val="2"/>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Timeframe (months)</w:t>
            </w:r>
          </w:p>
        </w:tc>
        <w:tc>
          <w:tcPr>
            <w:tcW w:w="6210" w:type="dxa"/>
            <w:vMerge w:val="restart"/>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Remarks</w:t>
            </w:r>
          </w:p>
        </w:tc>
      </w:tr>
      <w:tr>
        <w:trPr>
          <w:trHeight w:val="345" w:hRule="atLeast"/>
        </w:trPr>
        <w:tc>
          <w:tcPr>
            <w:tcW w:w="162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387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c>
          <w:tcPr>
            <w:tcW w:w="1530" w:type="dxa"/>
            <w:tcBorders>
              <w:top w:val="single" w:sz="4" w:space="0" w:color="000000"/>
              <w:start w:val="single" w:sz="4" w:space="0" w:color="000000"/>
              <w:bottom w:val="single" w:sz="4" w:space="0" w:color="000000"/>
              <w:end w:val="single" w:sz="4" w:space="0" w:color="000000"/>
            </w:tcBorders>
            <w:shd w:fill="B2B2B2" w:val="clear"/>
          </w:tcPr>
          <w:p>
            <w:pPr>
              <w:pStyle w:val="Normal"/>
              <w:jc w:val="center"/>
              <w:rPr>
                <w:b/>
                <w:sz w:val="22"/>
              </w:rPr>
            </w:pPr>
            <w:r>
              <w:rPr>
                <w:b/>
                <w:sz w:val="22"/>
              </w:rPr>
              <w:t>Preparation</w:t>
            </w:r>
          </w:p>
        </w:tc>
        <w:tc>
          <w:tcPr>
            <w:tcW w:w="1350" w:type="dxa"/>
            <w:tcBorders>
              <w:top w:val="single" w:sz="4" w:space="0" w:color="000000"/>
              <w:start w:val="single" w:sz="4" w:space="0" w:color="000000"/>
              <w:bottom w:val="single" w:sz="4" w:space="0" w:color="000000"/>
              <w:end w:val="single" w:sz="4" w:space="0" w:color="000000"/>
            </w:tcBorders>
            <w:shd w:fill="B2B2B2" w:val="clear"/>
          </w:tcPr>
          <w:p>
            <w:pPr>
              <w:pStyle w:val="Heading1"/>
              <w:ind w:hanging="0" w:start="0"/>
              <w:rPr>
                <w:sz w:val="22"/>
              </w:rPr>
            </w:pPr>
            <w:r>
              <w:rPr>
                <w:sz w:val="22"/>
              </w:rPr>
              <w:t>Review</w:t>
            </w:r>
          </w:p>
          <w:p>
            <w:pPr>
              <w:pStyle w:val="Normal"/>
              <w:jc w:val="center"/>
              <w:rPr>
                <w:b/>
                <w:sz w:val="22"/>
              </w:rPr>
            </w:pPr>
            <w:r>
              <w:rPr>
                <w:b/>
                <w:sz w:val="22"/>
              </w:rPr>
              <w:t>And</w:t>
            </w:r>
          </w:p>
          <w:p>
            <w:pPr>
              <w:pStyle w:val="Normal"/>
              <w:jc w:val="center"/>
              <w:rPr>
                <w:b/>
                <w:sz w:val="22"/>
              </w:rPr>
            </w:pPr>
            <w:r>
              <w:rPr>
                <w:b/>
                <w:sz w:val="22"/>
              </w:rPr>
              <w:t>Approval</w:t>
            </w:r>
          </w:p>
        </w:tc>
        <w:tc>
          <w:tcPr>
            <w:tcW w:w="6210" w:type="dxa"/>
            <w:vMerge w:val="continue"/>
            <w:tcBorders>
              <w:top w:val="single" w:sz="4" w:space="0" w:color="000000"/>
              <w:start w:val="single" w:sz="4" w:space="0" w:color="000000"/>
              <w:bottom w:val="single" w:sz="4" w:space="0" w:color="000000"/>
              <w:end w:val="single" w:sz="4" w:space="0" w:color="000000"/>
            </w:tcBorders>
            <w:shd w:fill="B2B2B2" w:val="clear"/>
          </w:tcPr>
          <w:p>
            <w:pPr>
              <w:pStyle w:val="Normal"/>
              <w:snapToGrid w:val="false"/>
              <w:jc w:val="center"/>
              <w:rPr>
                <w:b/>
                <w:sz w:val="22"/>
              </w:rPr>
            </w:pPr>
            <w:r>
              <w:rPr>
                <w:b/>
                <w:sz w:val="22"/>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New York City Fire Department</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Permit for storage of any combustible, flammable or explosive</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10" w:type="dxa"/>
            <w:tcBorders>
              <w:top w:val="single" w:sz="4" w:space="0" w:color="000000"/>
              <w:start w:val="single" w:sz="4" w:space="0" w:color="000000"/>
              <w:bottom w:val="single" w:sz="4" w:space="0" w:color="000000"/>
              <w:end w:val="single" w:sz="4" w:space="0" w:color="000000"/>
            </w:tcBorders>
          </w:tcPr>
          <w:p>
            <w:pPr>
              <w:pStyle w:val="BodyTextIndent3"/>
              <w:ind w:start="0" w:end="0"/>
              <w:jc w:val="both"/>
              <w:rPr>
                <w:sz w:val="20"/>
              </w:rPr>
            </w:pPr>
            <w:r>
              <w:rPr>
                <w:sz w:val="20"/>
              </w:rPr>
              <w:t xml:space="preserve">Permit for the storage of any combustible, flammable or explosive.  New York City Administrative Code § 27-4011.  Certificate of occupancy for buildings and structures wherein containers of combustibles, chemicals, explosives or flammables or other dangerous substances are stored.  New York City Administrative Code § 27-4012.  </w:t>
            </w:r>
          </w:p>
          <w:p>
            <w:pPr>
              <w:pStyle w:val="Normal"/>
              <w:ind w:start="720" w:end="0"/>
              <w:jc w:val="both"/>
              <w:rPr>
                <w:sz w:val="20"/>
              </w:rPr>
            </w:pPr>
            <w:r>
              <w:rPr>
                <w:sz w:val="20"/>
              </w:rPr>
            </w:r>
          </w:p>
          <w:p>
            <w:pPr>
              <w:pStyle w:val="Normal"/>
              <w:rPr/>
            </w:pPr>
            <w:r>
              <w:rPr/>
              <w:t>Permit for the storage of petroleum.  New York City Administrative Code §§ 27-4053, 27-4055.  When such a permit is issued, certain requirements for fire protection systems must be satisfied.  New York City Administrative Code §§ 27-4053, 27-4055.  Depending on size of the storage tanks, there may be certain setback distances from adjoining properties.  New York City Administrative Code § 27-4053.</w:t>
            </w:r>
          </w:p>
        </w:tc>
      </w:tr>
    </w:tbl>
    <w:p>
      <w:pPr>
        <w:pStyle w:val="Normal"/>
        <w:rPr/>
      </w:pPr>
      <w:r>
        <w:rPr/>
      </w:r>
    </w:p>
    <w:sectPr>
      <w:headerReference w:type="default" r:id="rId2"/>
      <w:type w:val="nextPage"/>
      <w:pgSz w:orient="landscape" w:w="15840" w:h="12240"/>
      <w:pgMar w:left="432" w:right="432" w:gutter="0" w:header="720" w:top="1008"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2"/>
      </w:rPr>
    </w:pPr>
    <w:r>
      <w:rPr>
        <w:b/>
        <w:sz w:val="22"/>
      </w:rPr>
      <w:t xml:space="preserve">Early Peaking Capacity </w:t>
      <w:tab/>
      <w:tab/>
      <w:tab/>
      <w:tab/>
      <w:tab/>
      <w:tab/>
      <w:tab/>
      <w:t xml:space="preserve">Page </w:t>
    </w:r>
    <w:r>
      <w:rPr>
        <w:rStyle w:val="PageNumber"/>
        <w:b/>
        <w:sz w:val="22"/>
      </w:rPr>
      <w:fldChar w:fldCharType="begin"/>
    </w:r>
    <w:r>
      <w:rPr>
        <w:rStyle w:val="PageNumber"/>
        <w:sz w:val="22"/>
        <w:b/>
      </w:rPr>
      <w:instrText xml:space="preserve"> PAGE </w:instrText>
    </w:r>
    <w:r>
      <w:rPr>
        <w:rStyle w:val="PageNumber"/>
        <w:sz w:val="22"/>
        <w:b/>
      </w:rPr>
      <w:fldChar w:fldCharType="separate"/>
    </w:r>
    <w:r>
      <w:rPr>
        <w:rStyle w:val="PageNumber"/>
        <w:sz w:val="22"/>
        <w:b/>
      </w:rPr>
      <w:t>5</w:t>
    </w:r>
    <w:r>
      <w:rPr>
        <w:rStyle w:val="PageNumber"/>
        <w:sz w:val="22"/>
        <w:b/>
      </w:rPr>
      <w:fldChar w:fldCharType="end"/>
    </w:r>
    <w:r>
      <w:rPr>
        <w:rStyle w:val="PageNumber"/>
        <w:b/>
        <w:sz w:val="22"/>
      </w:rPr>
      <w:t xml:space="preserve"> of 5</w:t>
    </w:r>
  </w:p>
  <w:p>
    <w:pPr>
      <w:pStyle w:val="Header"/>
      <w:rPr>
        <w:b/>
        <w:sz w:val="22"/>
      </w:rPr>
    </w:pPr>
    <w:r>
      <w:rPr>
        <w:b/>
        <w:sz w:val="22"/>
      </w:rPr>
      <w:t>Permit/Approval Worksheet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sz w:val="24"/>
      <w:u w:val="single"/>
    </w:rPr>
  </w:style>
  <w:style w:type="paragraph" w:styleId="Heading4">
    <w:name w:val="heading 4"/>
    <w:basedOn w:val="Normal"/>
    <w:next w:val="Normal"/>
    <w:qFormat/>
    <w:pPr>
      <w:keepNext w:val="true"/>
      <w:numPr>
        <w:ilvl w:val="3"/>
        <w:numId w:val="1"/>
      </w:numPr>
      <w:jc w:val="center"/>
      <w:outlineLvl w:val="3"/>
    </w:pPr>
    <w:rPr>
      <w:b/>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z w:val="24"/>
    </w:rPr>
  </w:style>
  <w:style w:type="paragraph" w:styleId="BodyTextIndent3">
    <w:name w:val="Body Text Indent 3"/>
    <w:basedOn w:val="Normal"/>
    <w:qFormat/>
    <w:pPr>
      <w:ind w:hanging="0" w:start="630" w:end="0"/>
    </w:pPr>
    <w:rPr>
      <w:sz w:val="24"/>
    </w:rPr>
  </w:style>
  <w:style w:type="paragraph" w:styleId="BodyTextIndent2">
    <w:name w:val="Body Text Indent 2"/>
    <w:basedOn w:val="Normal"/>
    <w:qFormat/>
    <w:pPr>
      <w:ind w:hanging="0" w:start="720" w:end="0"/>
    </w:pPr>
    <w:rPr>
      <w:sz w:val="24"/>
    </w:rPr>
  </w:style>
  <w:style w:type="paragraph" w:styleId="BodyText3">
    <w:name w:val="Body Text 3"/>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2000-05-09T10:06:00Z</dcterms:created>
  <dc:creator>rtapsco</dc:creator>
  <dc:description/>
  <dc:language>en-CA</dc:language>
  <cp:lastModifiedBy>rtapsco</cp:lastModifiedBy>
  <cp:lastPrinted>2000-05-09T07:15:00Z</cp:lastPrinted>
  <dcterms:modified xsi:type="dcterms:W3CDTF">2000-05-09T10:06:00Z</dcterms:modified>
  <cp:revision>2</cp:revision>
  <dc:subject/>
  <dc:title>Early Peaking Capacity</dc:title>
</cp:coreProperties>
</file>