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jc w:val="end"/>
        <w:rPr>
          <w:rFonts w:ascii="Arial" w:hAnsi="Arial" w:cs="Arial"/>
        </w:rPr>
      </w:pPr>
      <w:r>
        <w:rPr>
          <w:rFonts w:cs="Arial" w:ascii="Arial" w:hAnsi="Arial"/>
        </w:rPr>
      </w:r>
    </w:p>
    <w:p>
      <w:pPr>
        <w:pStyle w:val="CG-Title-Center-Underscore"/>
        <w:rPr>
          <w:rFonts w:ascii="Arial" w:hAnsi="Arial" w:cs="Arial"/>
          <w:b/>
        </w:rPr>
      </w:pPr>
      <w:r>
        <w:rPr>
          <w:rFonts w:cs="Arial" w:ascii="Arial" w:hAnsi="Arial"/>
          <w:b/>
        </w:rPr>
        <w:t>GUARANTY</w:t>
      </w:r>
    </w:p>
    <w:p>
      <w:pPr>
        <w:pStyle w:val="CG-SingleSp1"/>
        <w:rPr/>
      </w:pPr>
      <w:r>
        <w:rPr>
          <w:rFonts w:cs="Arial" w:ascii="Arial" w:hAnsi="Arial"/>
        </w:rPr>
        <w:t>This GUARANTY AGREEMENT (this “</w:t>
      </w:r>
      <w:r>
        <w:rPr>
          <w:rFonts w:cs="Arial" w:ascii="Arial" w:hAnsi="Arial"/>
          <w:u w:val="single"/>
        </w:rPr>
        <w:t>Guaranty</w:t>
      </w:r>
      <w:r>
        <w:rPr>
          <w:rFonts w:cs="Arial" w:ascii="Arial" w:hAnsi="Arial"/>
        </w:rPr>
        <w:t xml:space="preserve">”) is made as of </w:t>
      </w:r>
      <w:r>
        <w:rPr>
          <w:rFonts w:cs="Arial" w:ascii="Arial" w:hAnsi="Arial"/>
          <w:u w:val="single"/>
        </w:rPr>
        <w:t xml:space="preserve">                </w:t>
      </w:r>
      <w:r>
        <w:rPr>
          <w:rFonts w:cs="Arial" w:ascii="Arial" w:hAnsi="Arial"/>
        </w:rPr>
        <w:t>, 2001 by and between ____________________  (the “</w:t>
      </w:r>
      <w:r>
        <w:rPr>
          <w:rFonts w:cs="Arial" w:ascii="Arial" w:hAnsi="Arial"/>
          <w:u w:val="single"/>
        </w:rPr>
        <w:t>Guarantor</w:t>
      </w:r>
      <w:r>
        <w:rPr>
          <w:rFonts w:cs="Arial" w:ascii="Arial" w:hAnsi="Arial"/>
        </w:rPr>
        <w:t>”), a decentralized public entity of the Federal Government of the United Mexican States (“</w:t>
      </w:r>
      <w:r>
        <w:rPr>
          <w:rFonts w:cs="Arial" w:ascii="Arial" w:hAnsi="Arial"/>
          <w:u w:val="single"/>
        </w:rPr>
        <w:t>Mexico</w:t>
      </w:r>
      <w:r>
        <w:rPr>
          <w:rFonts w:cs="Arial" w:ascii="Arial" w:hAnsi="Arial"/>
        </w:rPr>
        <w:t xml:space="preserve">”) and </w:t>
      </w:r>
      <w:r>
        <w:rPr>
          <w:rFonts w:cs="Arial" w:ascii="Arial" w:hAnsi="Arial"/>
          <w:u w:val="single"/>
        </w:rPr>
        <w:t xml:space="preserve">                 </w:t>
      </w:r>
      <w:r>
        <w:rPr>
          <w:rFonts w:cs="Arial" w:ascii="Arial" w:hAnsi="Arial"/>
        </w:rPr>
        <w:t>ENRON NORTH AMERICA CORP., formerly known as Enron Capital &amp; Trade Resources Corp., a corporation organized under the laws of Delaware (the “</w:t>
      </w:r>
      <w:r>
        <w:rPr>
          <w:rFonts w:cs="Arial" w:ascii="Arial" w:hAnsi="Arial"/>
          <w:u w:val="single"/>
        </w:rPr>
        <w:t>Beneficiary</w:t>
      </w:r>
      <w:r>
        <w:rPr>
          <w:rFonts w:cs="Arial" w:ascii="Arial" w:hAnsi="Arial"/>
        </w:rPr>
        <w:t>”).</w:t>
      </w:r>
    </w:p>
    <w:p>
      <w:pPr>
        <w:pStyle w:val="CG-Title-Center-Underscore"/>
        <w:rPr>
          <w:rFonts w:ascii="Arial" w:hAnsi="Arial" w:cs="Arial"/>
        </w:rPr>
      </w:pPr>
      <w:r>
        <w:rPr>
          <w:rFonts w:cs="Arial" w:ascii="Arial" w:hAnsi="Arial"/>
        </w:rPr>
        <w:t>RECITALS</w:t>
      </w:r>
    </w:p>
    <w:p>
      <w:pPr>
        <w:pStyle w:val="CG-SingleSp1"/>
        <w:rPr/>
      </w:pPr>
      <w:r>
        <w:rPr>
          <w:rFonts w:cs="Arial" w:ascii="Arial" w:hAnsi="Arial"/>
        </w:rPr>
        <w:t>PMI Trading Ltd. (“PMI”) and the Beneficiary have entered into that certain Master Energy Price Swap Agreement, dated as of March 19, 1999, as the same may from time to time be modified, amended and supplemented (such Master Agreement, together with each Confirmation exchanged between the parties pursuant thereto, hereinafter the “</w:t>
      </w:r>
      <w:r>
        <w:rPr>
          <w:rFonts w:cs="Arial" w:ascii="Arial" w:hAnsi="Arial"/>
          <w:u w:val="single"/>
        </w:rPr>
        <w:t>Agreement</w:t>
      </w:r>
      <w:r>
        <w:rPr>
          <w:rFonts w:cs="Arial" w:ascii="Arial" w:hAnsi="Arial"/>
        </w:rPr>
        <w:t>”).  Capitalized terms used but not defined herein shall have the meanings specified in the Agreement.  The Guarantor will directly or indirectly benefit from the Transactions between the Beneficiary and PMI.  Pursuant to the Agreement and as an inducement to the Beneficiary to enter into the Agreement, the parties hereby agree as follows:</w:t>
      </w:r>
    </w:p>
    <w:p>
      <w:pPr>
        <w:pStyle w:val="SingleSpace"/>
        <w:keepNext w:val="true"/>
        <w:keepLines/>
        <w:ind w:hanging="0" w:end="0"/>
        <w:rPr>
          <w:rFonts w:ascii="Arial" w:hAnsi="Arial" w:cs="Arial"/>
        </w:rPr>
      </w:pPr>
      <w:r>
        <w:rPr>
          <w:rFonts w:cs="Arial" w:ascii="Arial" w:hAnsi="Arial"/>
        </w:rPr>
        <w:t xml:space="preserve">SECTION 1.  </w:t>
      </w:r>
      <w:r>
        <w:rPr>
          <w:rFonts w:cs="Arial" w:ascii="Arial" w:hAnsi="Arial"/>
          <w:u w:val="single"/>
        </w:rPr>
        <w:t>THE GUARANTY</w:t>
      </w:r>
    </w:p>
    <w:p>
      <w:pPr>
        <w:pStyle w:val="CG-SingleSp1"/>
        <w:rPr/>
      </w:pPr>
      <w:r>
        <w:rPr>
          <w:rFonts w:cs="Arial" w:ascii="Arial" w:hAnsi="Arial"/>
        </w:rPr>
        <w:t>(a)</w:t>
        <w:tab/>
        <w:t>The Guarantor hereby unconditionally and irrevocably guarantees, as primary obligor and not merely as surety, the punctual payment in full of all present and future amounts payable by PMI under the Agreement (collectively, the “</w:t>
      </w:r>
      <w:r>
        <w:rPr>
          <w:rFonts w:cs="Arial" w:ascii="Arial" w:hAnsi="Arial"/>
          <w:u w:val="single"/>
        </w:rPr>
        <w:t>Obligations</w:t>
      </w:r>
      <w:r>
        <w:rPr>
          <w:rFonts w:cs="Arial" w:ascii="Arial" w:hAnsi="Arial"/>
        </w:rPr>
        <w:t>”) as and when those amounts become payable, whether on Scheduled Payment Dates, upon declaration of termination or otherwise, in each case in accordance with the terms of the Agreement.  If PMI shall fail to pay punctually any Obligation, the Guarantor shall forthwith, upon written demand (the “</w:t>
      </w:r>
      <w:r>
        <w:rPr>
          <w:rFonts w:cs="Arial" w:ascii="Arial" w:hAnsi="Arial"/>
          <w:u w:val="single"/>
        </w:rPr>
        <w:t>Payment Demand</w:t>
      </w:r>
      <w:r>
        <w:rPr>
          <w:rFonts w:cs="Arial" w:ascii="Arial" w:hAnsi="Arial"/>
        </w:rPr>
        <w:t>”), pay such Obligation to the person entitled thereto within three (3) Business Days after its receipt of the Payment Demand, strictly in accordance with the provisions of the Agreement and in the currency in which the guaranteed Obligation is to be paid.</w:t>
      </w:r>
    </w:p>
    <w:p>
      <w:pPr>
        <w:pStyle w:val="CG-SingleSp1"/>
        <w:rPr>
          <w:rFonts w:ascii="Arial" w:hAnsi="Arial" w:cs="Arial"/>
        </w:rPr>
      </w:pPr>
      <w:r>
        <w:rPr>
          <w:rFonts w:cs="Arial" w:ascii="Arial" w:hAnsi="Arial"/>
        </w:rPr>
        <w:t>(b)</w:t>
        <w:tab/>
        <w:t>The obligations of the Guarantor set forth herein shall be absolute and unconditional and shall not be discharged except by complete payment of the Obligations, irrespective of:</w:t>
      </w:r>
    </w:p>
    <w:p>
      <w:pPr>
        <w:pStyle w:val="CG-SingleSp1"/>
        <w:ind w:firstLine="720" w:start="720" w:end="0"/>
        <w:rPr>
          <w:rFonts w:ascii="Arial" w:hAnsi="Arial" w:cs="Arial"/>
        </w:rPr>
      </w:pPr>
      <w:r>
        <w:rPr>
          <w:rFonts w:cs="Arial" w:ascii="Arial" w:hAnsi="Arial"/>
        </w:rPr>
        <w:t>(i)</w:t>
        <w:tab/>
        <w:t>any claim as to the validity or enforceability of the Agreement or any Transaction;</w:t>
      </w:r>
    </w:p>
    <w:p>
      <w:pPr>
        <w:pStyle w:val="CG-SingleSp1"/>
        <w:ind w:firstLine="720" w:start="720" w:end="0"/>
        <w:rPr>
          <w:rFonts w:ascii="Arial" w:hAnsi="Arial" w:cs="Arial"/>
        </w:rPr>
      </w:pPr>
      <w:r>
        <w:rPr>
          <w:rFonts w:cs="Arial" w:ascii="Arial" w:hAnsi="Arial"/>
        </w:rPr>
        <w:t>(ii)</w:t>
        <w:tab/>
        <w:t>any change in or amendment to the Agreement;</w:t>
      </w:r>
    </w:p>
    <w:p>
      <w:pPr>
        <w:pStyle w:val="CG-SingleSp1"/>
        <w:ind w:firstLine="720" w:start="720" w:end="0"/>
        <w:rPr>
          <w:rFonts w:ascii="Arial" w:hAnsi="Arial" w:cs="Arial"/>
        </w:rPr>
      </w:pPr>
      <w:r>
        <w:rPr>
          <w:rFonts w:cs="Arial" w:ascii="Arial" w:hAnsi="Arial"/>
        </w:rPr>
        <w:t>(iii)</w:t>
        <w:tab/>
        <w:t>any extension, renewal, settlement, compromise, waiver, release or other changes in the time of payment or changes or modifications to the terms of the Agreement in respect of any Obligation or any other guaranty of any Obligation;</w:t>
      </w:r>
    </w:p>
    <w:p>
      <w:pPr>
        <w:pStyle w:val="CG-SingleSp1"/>
        <w:ind w:firstLine="720" w:start="720" w:end="0"/>
        <w:rPr>
          <w:rFonts w:ascii="Arial" w:hAnsi="Arial" w:cs="Arial"/>
        </w:rPr>
      </w:pPr>
      <w:r>
        <w:rPr>
          <w:rFonts w:cs="Arial" w:ascii="Arial" w:hAnsi="Arial"/>
        </w:rPr>
        <w:t>(iv)</w:t>
        <w:tab/>
        <w:t>any impairment, taking, exchange or release of collateral securing the Agreement;</w:t>
      </w:r>
    </w:p>
    <w:p>
      <w:pPr>
        <w:pStyle w:val="CG-SingleSp1"/>
        <w:ind w:firstLine="720" w:start="720" w:end="0"/>
        <w:rPr>
          <w:rFonts w:ascii="Arial" w:hAnsi="Arial" w:cs="Arial"/>
        </w:rPr>
      </w:pPr>
      <w:r>
        <w:rPr>
          <w:rFonts w:cs="Arial" w:ascii="Arial" w:hAnsi="Arial"/>
        </w:rPr>
        <w:t>(v)</w:t>
        <w:tab/>
        <w:t xml:space="preserve">any order of any governmental entity purporting to reduce, amend or restructure any Obligation; or </w:t>
      </w:r>
    </w:p>
    <w:p>
      <w:pPr>
        <w:pStyle w:val="CG-SingleSp1"/>
        <w:ind w:firstLine="720" w:start="720" w:end="0"/>
        <w:rPr>
          <w:rFonts w:ascii="Arial" w:hAnsi="Arial" w:cs="Arial"/>
        </w:rPr>
      </w:pPr>
      <w:r>
        <w:rPr>
          <w:rFonts w:cs="Arial" w:ascii="Arial" w:hAnsi="Arial"/>
        </w:rPr>
        <w:t>(vi)</w:t>
        <w:tab/>
        <w:t>any other circumstance which might otherwise constitute a legal or equitable defense or discharge of PMI or a guarantor.</w:t>
      </w:r>
    </w:p>
    <w:p>
      <w:pPr>
        <w:pStyle w:val="CG-SingleSp1"/>
        <w:rPr/>
      </w:pPr>
      <w:r>
        <w:rPr>
          <w:rFonts w:cs="Arial" w:ascii="Arial" w:hAnsi="Arial"/>
        </w:rPr>
        <w:t>(c)</w:t>
        <w:tab/>
        <w:t xml:space="preserve">If the Guarantor gives the Beneficiary notice of its intention to terminate its obligations under this Guaranty, such notice shall operate to terminate those obligations in respect of any Transaction whose trade date occurs on or after the termination date specified in such notice; </w:t>
      </w:r>
      <w:r>
        <w:rPr>
          <w:rFonts w:cs="Arial" w:ascii="Arial" w:hAnsi="Arial"/>
          <w:u w:val="single"/>
        </w:rPr>
        <w:t>provided</w:t>
      </w:r>
      <w:r>
        <w:rPr>
          <w:rFonts w:cs="Arial" w:ascii="Arial" w:hAnsi="Arial"/>
        </w:rPr>
        <w:t xml:space="preserve">, </w:t>
      </w:r>
      <w:r>
        <w:rPr>
          <w:rFonts w:cs="Arial" w:ascii="Arial" w:hAnsi="Arial"/>
          <w:u w:val="single"/>
        </w:rPr>
        <w:t>however</w:t>
      </w:r>
      <w:r>
        <w:rPr>
          <w:rFonts w:cs="Arial" w:ascii="Arial" w:hAnsi="Arial"/>
        </w:rPr>
        <w:t>, that no such notice shall have any effect unless the termination date stated therein occurs at least five Business Days after the date such notice is received by Beneficiary (the “</w:t>
      </w:r>
      <w:r>
        <w:rPr>
          <w:rFonts w:cs="Arial" w:ascii="Arial" w:hAnsi="Arial"/>
          <w:u w:val="single"/>
        </w:rPr>
        <w:t>Termination Date</w:t>
      </w:r>
      <w:r>
        <w:rPr>
          <w:rFonts w:cs="Arial" w:ascii="Arial" w:hAnsi="Arial"/>
        </w:rPr>
        <w:t>”).  A notice given in accordance with this provision shall not affect the obligations of the Guarantor under this Guaranty in respect of any Transaction whose trade date occurs before the Termination Date.</w:t>
      </w:r>
    </w:p>
    <w:p>
      <w:pPr>
        <w:pStyle w:val="CG-SingleSp1"/>
        <w:rPr>
          <w:rFonts w:ascii="Arial" w:hAnsi="Arial" w:cs="Arial"/>
        </w:rPr>
      </w:pPr>
      <w:r>
        <w:rPr>
          <w:rFonts w:cs="Arial" w:ascii="Arial" w:hAnsi="Arial"/>
        </w:rPr>
        <w:t>(d)</w:t>
        <w:tab/>
        <w:t>The Guarantor hereby waives promptness, diligence, notice of acceptance, protest, any requirement that the Beneficiary exhaust any right or take any action against PMI or any other person or entity, as well as any right to require a proceeding first against PMI.</w:t>
      </w:r>
    </w:p>
    <w:p>
      <w:pPr>
        <w:pStyle w:val="CG-SingleSp1"/>
        <w:rPr>
          <w:rFonts w:ascii="Arial" w:hAnsi="Arial" w:cs="Arial"/>
        </w:rPr>
      </w:pPr>
      <w:r>
        <w:rPr>
          <w:rFonts w:cs="Arial" w:ascii="Arial" w:hAnsi="Arial"/>
        </w:rPr>
        <w:t>(e)</w:t>
        <w:tab/>
        <w:t>Except as to applicable statutes of limitations, no delay of Beneficiary in the exercise of, or failure to exercise any rights hereunder shall operate as a waiver of such rights, a waiver of any other rights or a release of Guarantor from any Obligations hereunder.</w:t>
      </w:r>
    </w:p>
    <w:p>
      <w:pPr>
        <w:pStyle w:val="CG-SingleSp1"/>
        <w:rPr>
          <w:rFonts w:ascii="Arial" w:hAnsi="Arial" w:cs="Arial"/>
        </w:rPr>
      </w:pPr>
      <w:r>
        <w:rPr>
          <w:rFonts w:cs="Arial" w:ascii="Arial" w:hAnsi="Arial"/>
        </w:rPr>
        <w:t>(f)</w:t>
        <w:tab/>
        <w:t>The Guarantor’s obligations hereunder constitute a guaranty of payment and not of collection and shall remain in full force and effect until the Obligations have been paid in full in accordance with the terms hereof and the Agreement.  This Guaranty shall continue to be effective or be reinstated, as the case may be, if at any time any payment of any Obligation is rescinded or must otherwise be returned by the Beneficiary upon the insolvency, bankruptcy or reorganization of PMI or otherwise, as though such payment had not been made.</w:t>
      </w:r>
    </w:p>
    <w:p>
      <w:pPr>
        <w:pStyle w:val="CG-SingleSp1"/>
        <w:rPr>
          <w:rFonts w:ascii="Arial" w:hAnsi="Arial" w:cs="Arial"/>
        </w:rPr>
      </w:pPr>
      <w:r>
        <w:rPr>
          <w:rFonts w:cs="Arial" w:ascii="Arial" w:hAnsi="Arial"/>
        </w:rPr>
        <w:t>(g)</w:t>
        <w:tab/>
        <w:t>The Beneficiary agrees, by accepting this Guaranty and entering into the Agreement, that the Guarantor shall be subrogated to all rights of the Beneficiary against PMI in respect of any amounts paid by the Guarantor pursuant to this Guaranty.</w:t>
      </w:r>
    </w:p>
    <w:p>
      <w:pPr>
        <w:pStyle w:val="SingleSpace"/>
        <w:ind w:hanging="0" w:end="0"/>
        <w:rPr/>
      </w:pPr>
      <w:r>
        <w:rPr>
          <w:rFonts w:cs="Arial" w:ascii="Arial" w:hAnsi="Arial"/>
        </w:rPr>
        <w:t xml:space="preserve">SECTION 2.  </w:t>
      </w:r>
      <w:r>
        <w:rPr>
          <w:rFonts w:cs="Arial" w:ascii="Arial" w:hAnsi="Arial"/>
          <w:u w:val="single"/>
        </w:rPr>
        <w:t>REPRESENTATIONS AND WARRANTIES OF THE GUARANTOR</w:t>
      </w:r>
    </w:p>
    <w:p>
      <w:pPr>
        <w:pStyle w:val="CG-SingleSp1"/>
        <w:rPr>
          <w:rFonts w:ascii="Arial" w:hAnsi="Arial" w:cs="Arial"/>
        </w:rPr>
      </w:pPr>
      <w:r>
        <w:rPr>
          <w:rFonts w:cs="Arial" w:ascii="Arial" w:hAnsi="Arial"/>
        </w:rPr>
        <w:t>The Guarantor represents and warrants to the Beneficiary that:</w:t>
      </w:r>
    </w:p>
    <w:p>
      <w:pPr>
        <w:pStyle w:val="CG-SingleSp1"/>
        <w:rPr>
          <w:rFonts w:ascii="Arial" w:hAnsi="Arial" w:cs="Arial"/>
        </w:rPr>
      </w:pPr>
      <w:r>
        <w:rPr>
          <w:rFonts w:cs="Arial" w:ascii="Arial" w:hAnsi="Arial"/>
        </w:rPr>
        <w:t>(a)</w:t>
        <w:tab/>
        <w:t>It is a decentralized public entity of the Federal Government of Mexico, duly constituted and validly existing under the laws of Mexico, and has the power and authority to own its assets and to conduct its business.</w:t>
      </w:r>
    </w:p>
    <w:p>
      <w:pPr>
        <w:pStyle w:val="CG-SingleSp1"/>
        <w:rPr>
          <w:rFonts w:ascii="Arial" w:hAnsi="Arial" w:cs="Arial"/>
        </w:rPr>
      </w:pPr>
      <w:r>
        <w:rPr>
          <w:rFonts w:cs="Arial" w:ascii="Arial" w:hAnsi="Arial"/>
        </w:rPr>
        <w:t>(b)</w:t>
        <w:tab/>
        <w:t>It has full power and authority to execute and deliver this Guaranty and to perform its obligations hereunder.</w:t>
      </w:r>
    </w:p>
    <w:p>
      <w:pPr>
        <w:pStyle w:val="CG-SingleSp1"/>
        <w:rPr>
          <w:rFonts w:ascii="Arial" w:hAnsi="Arial" w:cs="Arial"/>
        </w:rPr>
      </w:pPr>
      <w:r>
        <w:rPr>
          <w:rFonts w:cs="Arial" w:ascii="Arial" w:hAnsi="Arial"/>
        </w:rPr>
        <w:t>(c)</w:t>
        <w:tab/>
        <w:t>This Guaranty has been duly authorized, executed and delivered by the Guarantor and constitutes the legal, valid and binding obligation of the Guarantor enforceable against the Guarantor in accordance with its terms.</w:t>
      </w:r>
    </w:p>
    <w:p>
      <w:pPr>
        <w:pStyle w:val="CG-SingleSp1"/>
        <w:rPr/>
      </w:pPr>
      <w:r>
        <w:rPr>
          <w:rFonts w:cs="Arial" w:ascii="Arial" w:hAnsi="Arial"/>
        </w:rPr>
        <w:t>(d)</w:t>
        <w:tab/>
        <w:t xml:space="preserve">All consents, approvals, filings and registrations with or of any court, governmental authority or regulatory body of Mexico or any political subdivision thereof required in connection with the execution, delivery and performance by the Guarantor of this Guaranty have been obtained or made; and the execution, delivery and performance by the Guarantor of this Guaranty will not conflict with or result in a violation of any of the terms or provisions of, or constitute a default under, any law, the </w:t>
      </w:r>
      <w:r>
        <w:rPr>
          <w:rFonts w:cs="Arial" w:ascii="Arial" w:hAnsi="Arial"/>
          <w:i/>
        </w:rPr>
        <w:t>Ley Orgánica</w:t>
      </w:r>
      <w:r>
        <w:rPr>
          <w:rFonts w:cs="Arial" w:ascii="Arial" w:hAnsi="Arial"/>
        </w:rPr>
        <w:t xml:space="preserve"> of the Guarantor or the regulations thereunder, or any material agreement or material instrument to which the Guarantor is a party or by which it is bound.</w:t>
      </w:r>
    </w:p>
    <w:p>
      <w:pPr>
        <w:pStyle w:val="SingleSpace"/>
        <w:ind w:hanging="0" w:end="0"/>
        <w:rPr>
          <w:rFonts w:ascii="Arial" w:hAnsi="Arial" w:cs="Arial"/>
        </w:rPr>
      </w:pPr>
      <w:r>
        <w:rPr>
          <w:rFonts w:cs="Arial" w:ascii="Arial" w:hAnsi="Arial"/>
        </w:rPr>
        <w:t xml:space="preserve">SECTION 3.  </w:t>
      </w:r>
      <w:r>
        <w:rPr>
          <w:rFonts w:cs="Arial" w:ascii="Arial" w:hAnsi="Arial"/>
          <w:u w:val="single"/>
        </w:rPr>
        <w:t>COMMUNICATIONS</w:t>
      </w:r>
    </w:p>
    <w:p>
      <w:pPr>
        <w:pStyle w:val="Normal"/>
        <w:spacing w:lineRule="atLeast" w:line="240"/>
        <w:ind w:firstLine="720" w:end="0"/>
        <w:jc w:val="both"/>
        <w:rPr>
          <w:sz w:val="22"/>
          <w:szCs w:val="22"/>
        </w:rPr>
      </w:pPr>
      <w:r>
        <w:rPr>
          <w:rFonts w:cs="Arial" w:ascii="Arial" w:hAnsi="Arial"/>
        </w:rPr>
        <w:t xml:space="preserve">The provisions in the Agreement relating to Notices shall also apply to this Guaranty as if such provisions were set forth in full herein except that references in such provisions to the parties and the Agreement shall be deemed to be references to the Guarantor and the Beneficiary and this Guaranty, respectively.  Any notice or communication in respect of this Guaranty shall be given (a) if to the Beneficiary, at the address or number specified for such party in Section 11 of the Agreement and (b) if to the Guarantor, at the address or number set forth opposite such party’s signature to this Guaranty.  </w:t>
      </w:r>
      <w:r>
        <w:rPr>
          <w:rFonts w:cs="Arial" w:ascii="Arial" w:hAnsi="Arial"/>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CG-SingleSp1"/>
        <w:rPr>
          <w:rFonts w:ascii="Arial" w:hAnsi="Arial" w:cs="Arial"/>
          <w:sz w:val="22"/>
          <w:szCs w:val="22"/>
        </w:rPr>
      </w:pPr>
      <w:r>
        <w:rPr>
          <w:rFonts w:cs="Arial" w:ascii="Arial" w:hAnsi="Arial"/>
          <w:sz w:val="22"/>
          <w:szCs w:val="22"/>
        </w:rPr>
      </w:r>
      <w:r>
        <w:br w:type="page"/>
      </w:r>
    </w:p>
    <w:p>
      <w:pPr>
        <w:pStyle w:val="SingleSpace"/>
        <w:ind w:hanging="0" w:end="0"/>
        <w:rPr>
          <w:rFonts w:ascii="Arial" w:hAnsi="Arial" w:cs="Arial"/>
        </w:rPr>
      </w:pPr>
      <w:r>
        <w:rPr>
          <w:rFonts w:cs="Arial" w:ascii="Arial" w:hAnsi="Arial"/>
        </w:rPr>
        <w:t xml:space="preserve">SECTION 4.  </w:t>
      </w:r>
      <w:r>
        <w:rPr>
          <w:rFonts w:cs="Arial" w:ascii="Arial" w:hAnsi="Arial"/>
          <w:u w:val="single"/>
        </w:rPr>
        <w:t>BENEFIT AND ASSIGNMENT OF GUARANTY</w:t>
      </w:r>
    </w:p>
    <w:p>
      <w:pPr>
        <w:pStyle w:val="CG-SingleSp1"/>
        <w:rPr/>
      </w:pPr>
      <w:r>
        <w:rPr>
          <w:rFonts w:cs="Arial" w:ascii="Arial" w:hAnsi="Arial"/>
        </w:rPr>
        <w:t xml:space="preserve">The terms and provisions of this Guaranty shall be binding upon and inure to the benefit of the Guarantor, the Beneficiary and their respective successors and permitted assigns; </w:t>
      </w:r>
      <w:r>
        <w:rPr>
          <w:rFonts w:cs="Arial" w:ascii="Arial" w:hAnsi="Arial"/>
          <w:u w:val="single"/>
        </w:rPr>
        <w:t>provided</w:t>
      </w:r>
      <w:r>
        <w:rPr>
          <w:rFonts w:cs="Arial" w:ascii="Arial" w:hAnsi="Arial"/>
        </w:rPr>
        <w:t xml:space="preserve"> that neither party hereto shall be entitled to assign its rights or obligations under this Guaranty without the prior written consent of the other party.  Any purported assignment in contravention of this Section 4 shall be null and void and of no force and effect.</w:t>
      </w:r>
    </w:p>
    <w:p>
      <w:pPr>
        <w:pStyle w:val="SingleSpace"/>
        <w:ind w:hanging="0" w:end="0"/>
        <w:rPr>
          <w:rFonts w:ascii="Arial" w:hAnsi="Arial" w:cs="Arial"/>
        </w:rPr>
      </w:pPr>
      <w:r>
        <w:rPr>
          <w:rFonts w:cs="Arial" w:ascii="Arial" w:hAnsi="Arial"/>
        </w:rPr>
        <w:t xml:space="preserve">SECTION 5.  </w:t>
      </w:r>
      <w:r>
        <w:rPr>
          <w:rFonts w:cs="Arial" w:ascii="Arial" w:hAnsi="Arial"/>
          <w:u w:val="single"/>
        </w:rPr>
        <w:t>GOVERNING LAW</w:t>
      </w:r>
    </w:p>
    <w:p>
      <w:pPr>
        <w:pStyle w:val="CG-Title-Left-Bold"/>
        <w:ind w:firstLine="1440" w:end="0"/>
        <w:rPr>
          <w:rFonts w:ascii="Arial" w:hAnsi="Arial" w:cs="Arial"/>
        </w:rPr>
      </w:pPr>
      <w:r>
        <w:rPr>
          <w:rFonts w:cs="Arial" w:ascii="Arial" w:hAnsi="Arial"/>
        </w:rPr>
        <w:t>THIS GUARANTY SHALL BE GOVERNED BY AND CONSTRUED IN ACCORDANCE WITH THE LAW OF THE STATE OF NEW YORK WITHOUT REGARD TO PRINCIPLES OF CONFLICTS OF LAWS, EXCEPT THAT THE AUTHORIZATION AND EXECUTION OF THIS GUARANTY BY THE GUARANTOR WILL BE GOVERNED BY THE LAW OF MEXICO.</w:t>
      </w:r>
    </w:p>
    <w:p>
      <w:pPr>
        <w:pStyle w:val="SingleSpace"/>
        <w:ind w:hanging="0" w:end="0"/>
        <w:rPr>
          <w:rFonts w:ascii="Arial" w:hAnsi="Arial" w:cs="Arial"/>
        </w:rPr>
      </w:pPr>
      <w:r>
        <w:rPr>
          <w:rFonts w:cs="Arial" w:ascii="Arial" w:hAnsi="Arial"/>
        </w:rPr>
        <w:t xml:space="preserve">SECTION 6.  </w:t>
      </w:r>
      <w:r>
        <w:rPr>
          <w:rFonts w:cs="Arial" w:ascii="Arial" w:hAnsi="Arial"/>
          <w:u w:val="single"/>
        </w:rPr>
        <w:t>JURISDICTION AND WAIVER OF IMMUNITY</w:t>
      </w:r>
    </w:p>
    <w:p>
      <w:pPr>
        <w:pStyle w:val="CG-SingleSp1"/>
        <w:rPr/>
      </w:pPr>
      <w:r>
        <w:rPr>
          <w:rFonts w:cs="Arial" w:ascii="Arial" w:hAnsi="Arial"/>
        </w:rPr>
        <w:t>(a)</w:t>
        <w:tab/>
        <w:t>The Guarantor and the Beneficiary each hereby irrevocably submits to the non-exclusive jurisdiction of any federal court sitting in the Borough of Manhattan, The City of New York, New York, over any suit, action or proceeding arising out of or relating to this Guaranty (each, a “</w:t>
      </w:r>
      <w:r>
        <w:rPr>
          <w:rFonts w:cs="Arial" w:ascii="Arial" w:hAnsi="Arial"/>
          <w:u w:val="single"/>
        </w:rPr>
        <w:t>Proceeding</w:t>
      </w:r>
      <w:r>
        <w:rPr>
          <w:rFonts w:cs="Arial" w:ascii="Arial" w:hAnsi="Arial"/>
        </w:rPr>
        <w:t>”).  The Guarantor and the Beneficiary each hereby irrevocably waives, to the fullest extent permitted by law, any objection which it may now or hereafter have to the laying of the venue of any such Proceeding brought in such court, and any right to which it may be entitled on account of residence or domicile.</w:t>
      </w:r>
    </w:p>
    <w:p>
      <w:pPr>
        <w:pStyle w:val="CG-SingleSp1"/>
        <w:rPr/>
      </w:pPr>
      <w:r>
        <w:rPr>
          <w:rFonts w:cs="Arial" w:ascii="Arial" w:hAnsi="Arial"/>
        </w:rPr>
        <w:t>(b)</w:t>
        <w:tab/>
        <w:t>The Guarantor hereby appoints the Consul General of Mexico acting through his offices at 8 East 41</w:t>
      </w:r>
      <w:r>
        <w:rPr>
          <w:rFonts w:cs="Arial" w:ascii="Arial" w:hAnsi="Arial"/>
          <w:vertAlign w:val="superscript"/>
        </w:rPr>
        <w:t>st</w:t>
      </w:r>
      <w:r>
        <w:rPr>
          <w:rFonts w:cs="Arial" w:ascii="Arial" w:hAnsi="Arial"/>
        </w:rPr>
        <w:t xml:space="preserve"> Street, New York, New York 10017, and his successors as its authorized agent (the “</w:t>
      </w:r>
      <w:r>
        <w:rPr>
          <w:rFonts w:cs="Arial" w:ascii="Arial" w:hAnsi="Arial"/>
          <w:u w:val="single"/>
        </w:rPr>
        <w:t>Authorized Agent</w:t>
      </w:r>
      <w:r>
        <w:rPr>
          <w:rFonts w:cs="Arial" w:ascii="Arial" w:hAnsi="Arial"/>
        </w:rPr>
        <w:t>”) upon which process may be served in any action arising out of or based upon this Guaranty which may be instituted in any federal court sitting in the Borough of Manhattan, The City of New York, by the Beneficiary.  The appointment made by the Guarantor shall be irrevocable as long as any obligation pursuant to this Guaranty remains outstanding unless and until a successor agent shall have been appointed as such Authorized Agent and shall have accepted such appointment.  The Guarantor will take any and all action, including the filing of any and all documents and instruments, that may be necessary to continue such appointment or appointments in full force and effect as aforesaid.  Service of process upon the Authorized Agent at the address indicated above, or at such other address in the Borough of Manhattan, The City of New York, by notice given by the Authorized Agent to each party hereto, and written notice of such service delivered to the Guarantor in the manner set forth in Section 3 shall be deemed, in every respect, effective service of process upon the Guarantor.  Notwithstanding the foregoing, any action against the Guarantor arising out of or based on this Guaranty may be instituted in any competent court in Mexico.</w:t>
      </w:r>
    </w:p>
    <w:p>
      <w:pPr>
        <w:pStyle w:val="CG-SingleSp1"/>
        <w:rPr/>
      </w:pPr>
      <w:r>
        <w:rPr>
          <w:rFonts w:cs="Arial" w:ascii="Arial" w:hAnsi="Arial"/>
        </w:rPr>
        <w:t>(c)</w:t>
        <w:tab/>
        <w:t xml:space="preserve">The Guarantor hereby waives irrevocably to the extent permitted by applicable law any immunity from jurisdiction to which it might otherwise be entitled (including, to the extent applicable, sovereign immunity, immunity from prejudgment attachment, post-judgment attachment and execution) in any such action in any federal court in the Borough of Manhattan, The City of New York, or in any competent court in Mexico, </w:t>
      </w:r>
      <w:r>
        <w:rPr>
          <w:rFonts w:cs="Arial" w:ascii="Arial" w:hAnsi="Arial"/>
          <w:u w:val="single"/>
        </w:rPr>
        <w:t>except</w:t>
      </w:r>
      <w:r>
        <w:rPr>
          <w:rFonts w:cs="Arial" w:ascii="Arial" w:hAnsi="Arial"/>
        </w:rPr>
        <w:t xml:space="preserve"> that Article 27 of the Political Constitution of Mexico (the “</w:t>
      </w:r>
      <w:r>
        <w:rPr>
          <w:rFonts w:cs="Arial" w:ascii="Arial" w:hAnsi="Arial"/>
          <w:u w:val="single"/>
        </w:rPr>
        <w:t>Constitution</w:t>
      </w:r>
      <w:r>
        <w:rPr>
          <w:rFonts w:cs="Arial" w:ascii="Arial" w:hAnsi="Arial"/>
        </w:rPr>
        <w:t>”), Articles 2, 16 and 60 of the General Law on National Patrimony (and other related articles), Articles 1, 2, 3 and 4 (and related articles) of the Regulatory Law to Article 27 of the Constitution concerning Petroleum Affairs (the “</w:t>
      </w:r>
      <w:r>
        <w:rPr>
          <w:rFonts w:cs="Arial" w:ascii="Arial" w:hAnsi="Arial"/>
          <w:u w:val="single"/>
        </w:rPr>
        <w:t>Regulatory Law</w:t>
      </w:r>
      <w:r>
        <w:rPr>
          <w:rFonts w:cs="Arial" w:ascii="Arial" w:hAnsi="Arial"/>
        </w:rPr>
        <w:t xml:space="preserve">”), Articles 15, 16 and 19 of the Regulations to the Regulatory Law, Articles 1, 2, 3 and 4 (and other related articles) of the Organic Law and Article 4 of the Federal Code of Civil Procedure of Mexico, set forth, </w:t>
      </w:r>
      <w:r>
        <w:rPr>
          <w:rFonts w:cs="Arial" w:ascii="Arial" w:hAnsi="Arial"/>
          <w:i/>
        </w:rPr>
        <w:t>inter</w:t>
      </w:r>
      <w:r>
        <w:rPr>
          <w:rFonts w:cs="Arial" w:ascii="Arial" w:hAnsi="Arial"/>
        </w:rPr>
        <w:t xml:space="preserve"> </w:t>
      </w:r>
      <w:r>
        <w:rPr>
          <w:rFonts w:cs="Arial" w:ascii="Arial" w:hAnsi="Arial"/>
          <w:i/>
        </w:rPr>
        <w:t>alia</w:t>
      </w:r>
      <w:r>
        <w:rPr>
          <w:rFonts w:cs="Arial" w:ascii="Arial" w:hAnsi="Arial"/>
        </w:rPr>
        <w:t>, that (i) all domestic petroleum and hydrocarbon resources (whether in solid, liquid, gas or intermediate form) are permanently and inalienably vested in Mexico (and, to that extent, subject to immunity), (ii) (A) the exploration, exploitation, refining, transportation, storage, distribution and first-hand sale of crude oil, (B) the exploration, exploitation, production and first-hand sale of gas, as well as the transportation and storage inextricably linked with such exploitation and production, and (C) the production, storage, transportation, distribution and first-hand sale of the derivatives of petroleum (including petroleum products) and of gas used as basic industrial raw materials and considered “basic petrochemicals” (the “</w:t>
      </w:r>
      <w:r>
        <w:rPr>
          <w:rFonts w:cs="Arial" w:ascii="Arial" w:hAnsi="Arial"/>
          <w:u w:val="single"/>
        </w:rPr>
        <w:t>Petroleum Industry</w:t>
      </w:r>
      <w:r>
        <w:rPr>
          <w:rFonts w:cs="Arial" w:ascii="Arial" w:hAnsi="Arial"/>
        </w:rPr>
        <w:t xml:space="preserve">”) are reserved exclusively to Mexico (and, to that extent, assets related thereto are entitled to immunity), (iii) the public entities created and appointed by the Federal Congress of Mexico to exclusively conduct, control, develop and operate the Petroleum Industry are the Guarantor, Pemex-Exploración y Producción, Pemex-Refinación and Pemex-Gas y Petroquímica Básica (and, therefore, are entitled to immunity in respect of their respective assets related to such exclusive rights and powers) and (iv) attachment prior to judgment, attachment in aid of execution and execution of a final judgment may not be ordered by Mexican courts against property of the Guarantor.  </w:t>
      </w:r>
    </w:p>
    <w:p>
      <w:pPr>
        <w:pStyle w:val="SingleSpace"/>
        <w:keepNext w:val="true"/>
        <w:ind w:hanging="0" w:end="0"/>
        <w:rPr>
          <w:rFonts w:ascii="Arial" w:hAnsi="Arial" w:cs="Arial"/>
        </w:rPr>
      </w:pPr>
      <w:r>
        <w:rPr>
          <w:rFonts w:cs="Arial" w:ascii="Arial" w:hAnsi="Arial"/>
        </w:rPr>
        <w:t xml:space="preserve">SECTION 7. </w:t>
      </w:r>
      <w:r>
        <w:rPr>
          <w:rFonts w:cs="Arial" w:ascii="Arial" w:hAnsi="Arial"/>
          <w:u w:val="single"/>
        </w:rPr>
        <w:t>AMENDMENT AND WAIVER</w:t>
      </w:r>
    </w:p>
    <w:p>
      <w:pPr>
        <w:pStyle w:val="CG-SingleSp1"/>
        <w:rPr>
          <w:rFonts w:ascii="Arial" w:hAnsi="Arial" w:cs="Arial"/>
        </w:rPr>
      </w:pPr>
      <w:r>
        <w:rPr>
          <w:rFonts w:cs="Arial" w:ascii="Arial" w:hAnsi="Arial"/>
        </w:rPr>
        <w:t>No provision of this Guaranty may be amended, supplemented or modified, nor any of the terms and conditions hereof waived, unless both parties hereto agree in writing.</w:t>
      </w:r>
    </w:p>
    <w:p>
      <w:pPr>
        <w:pStyle w:val="SingleSpace"/>
        <w:ind w:hanging="0" w:end="0"/>
        <w:rPr>
          <w:rFonts w:ascii="Arial" w:hAnsi="Arial" w:cs="Arial"/>
        </w:rPr>
      </w:pPr>
      <w:r>
        <w:rPr>
          <w:rFonts w:cs="Arial" w:ascii="Arial" w:hAnsi="Arial"/>
        </w:rPr>
        <w:t xml:space="preserve">SECTION 8.  </w:t>
      </w:r>
      <w:r>
        <w:rPr>
          <w:rFonts w:cs="Arial" w:ascii="Arial" w:hAnsi="Arial"/>
          <w:u w:val="single"/>
        </w:rPr>
        <w:t>COUNTERPARTS</w:t>
      </w:r>
    </w:p>
    <w:p>
      <w:pPr>
        <w:pStyle w:val="CG-SingleSp1"/>
        <w:rPr>
          <w:rFonts w:ascii="Arial" w:hAnsi="Arial" w:cs="Arial"/>
        </w:rPr>
      </w:pPr>
      <w:r>
        <w:rPr>
          <w:rFonts w:cs="Arial" w:ascii="Arial" w:hAnsi="Arial"/>
        </w:rPr>
        <w:t xml:space="preserve">This Guaranty may be executed in any number of counterparts and by the different parties hereto in separate counterparts, each of which when so executed and delivered shall be an original, but all of which shall together constitute one and the same instrument.  </w:t>
      </w:r>
      <w:r>
        <w:br w:type="page"/>
      </w:r>
    </w:p>
    <w:p>
      <w:pPr>
        <w:pStyle w:val="SingleSpace"/>
        <w:rPr>
          <w:rFonts w:ascii="Arial" w:hAnsi="Arial" w:cs="Arial"/>
        </w:rPr>
      </w:pPr>
      <w:r>
        <w:rPr>
          <w:rFonts w:cs="Arial" w:ascii="Arial" w:hAnsi="Arial"/>
        </w:rPr>
        <w:t>IN WITNESS WHEREOF, the parties hereto have caused this Guaranty to be executed by their respective officers or representatives thereunto duly authorized, all on the date first mentioned above.</w:t>
      </w:r>
    </w:p>
    <w:p>
      <w:pPr>
        <w:pStyle w:val="CG-Title-Left-Underscore"/>
        <w:rPr/>
      </w:pPr>
      <w:r>
        <w:rPr/>
        <w:t>Address for Notices</w:t>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cPr>
          <w:p>
            <w:pPr>
              <w:pStyle w:val="SingleSpace"/>
              <w:ind w:hanging="0" w:end="0"/>
              <w:rPr/>
            </w:pPr>
            <w:r>
              <w:rPr>
                <w:rFonts w:cs="Arial" w:ascii="Arial" w:hAnsi="Arial"/>
                <w:lang w:val="es-ES"/>
              </w:rPr>
              <w:t>Avenida Marina Nacional 329</w:t>
              <w:br/>
              <w:t>Torre Ejecutiva, Piso 38</w:t>
              <w:br/>
              <w:t>Colonia Huasteca</w:t>
              <w:br/>
              <w:t xml:space="preserve">Mexico D.F.  </w:t>
            </w:r>
            <w:r>
              <w:rPr>
                <w:rFonts w:cs="Arial" w:ascii="Arial" w:hAnsi="Arial"/>
              </w:rPr>
              <w:t>11311</w:t>
              <w:br/>
              <w:t>Facsimile:  011-525-627-7659</w:t>
            </w:r>
          </w:p>
          <w:p>
            <w:pPr>
              <w:pStyle w:val="SingleSpace"/>
              <w:spacing w:before="0" w:after="240"/>
              <w:ind w:hanging="0" w:end="0"/>
              <w:rPr>
                <w:rFonts w:ascii="Arial" w:hAnsi="Arial" w:cs="Arial"/>
              </w:rPr>
            </w:pPr>
            <w:r>
              <w:rPr>
                <w:rFonts w:cs="Arial" w:ascii="Arial" w:hAnsi="Arial"/>
              </w:rPr>
              <w:t xml:space="preserve">Attention:  </w:t>
              <w:tab/>
              <w:t xml:space="preserve">Managing Director of </w:t>
              <w:br/>
              <w:tab/>
              <w:tab/>
              <w:t>Finance and Treasury</w:t>
            </w:r>
          </w:p>
        </w:tc>
        <w:tc>
          <w:tcPr>
            <w:tcW w:w="4860" w:type="dxa"/>
            <w:tcBorders/>
          </w:tcPr>
          <w:p>
            <w:pPr>
              <w:pStyle w:val="SingleSpace"/>
              <w:spacing w:before="0" w:after="240"/>
              <w:ind w:hanging="0" w:end="0"/>
              <w:rPr/>
            </w:pPr>
            <w:r>
              <w:rPr>
                <w:rFonts w:cs="Arial" w:ascii="Arial" w:hAnsi="Arial"/>
                <w:lang w:val="es-ES"/>
              </w:rPr>
              <w:t>__________________</w:t>
              <w:br/>
              <w:br/>
              <w:br/>
              <w:br/>
              <w:br/>
              <w:br/>
              <w:t>By</w:t>
            </w:r>
            <w:r>
              <w:rPr>
                <w:rFonts w:cs="Arial" w:ascii="Arial" w:hAnsi="Arial"/>
                <w:u w:val="single"/>
                <w:lang w:val="es-ES"/>
              </w:rPr>
              <w:tab/>
              <w:tab/>
              <w:tab/>
              <w:tab/>
              <w:tab/>
            </w:r>
          </w:p>
        </w:tc>
      </w:tr>
      <w:tr>
        <w:trPr/>
        <w:tc>
          <w:tcPr>
            <w:tcW w:w="4860" w:type="dxa"/>
            <w:tcBorders/>
          </w:tcPr>
          <w:p>
            <w:pPr>
              <w:pStyle w:val="Normal"/>
              <w:keepNext w:val="true"/>
              <w:keepLines/>
              <w:spacing w:lineRule="atLeast" w:line="240"/>
              <w:rPr>
                <w:rFonts w:ascii="Arial" w:hAnsi="Arial" w:cs="Arial"/>
                <w:szCs w:val="22"/>
              </w:rPr>
            </w:pPr>
            <w:r>
              <w:rPr>
                <w:rFonts w:cs="Arial" w:ascii="Arial" w:hAnsi="Arial"/>
                <w:szCs w:val="22"/>
              </w:rPr>
              <w:t>Enron North America Corp.</w:t>
            </w:r>
          </w:p>
          <w:p>
            <w:pPr>
              <w:pStyle w:val="Normal"/>
              <w:keepNext w:val="true"/>
              <w:keepLines/>
              <w:spacing w:lineRule="atLeast" w:line="240"/>
              <w:rPr>
                <w:rFonts w:ascii="Arial" w:hAnsi="Arial" w:cs="Arial"/>
                <w:szCs w:val="22"/>
              </w:rPr>
            </w:pPr>
            <w:r>
              <w:rPr>
                <w:rFonts w:cs="Arial" w:ascii="Arial" w:hAnsi="Arial"/>
                <w:szCs w:val="22"/>
              </w:rPr>
              <w:t>1400 Smith Street</w:t>
            </w:r>
          </w:p>
          <w:p>
            <w:pPr>
              <w:pStyle w:val="Normal"/>
              <w:keepNext w:val="true"/>
              <w:keepLines/>
              <w:spacing w:lineRule="atLeast" w:line="240"/>
              <w:rPr>
                <w:rFonts w:ascii="Arial" w:hAnsi="Arial" w:cs="Arial"/>
                <w:szCs w:val="22"/>
              </w:rPr>
            </w:pPr>
            <w:r>
              <w:rPr>
                <w:rFonts w:cs="Arial" w:ascii="Arial" w:hAnsi="Arial"/>
                <w:szCs w:val="22"/>
              </w:rPr>
              <w:t>Houston, Texas  77002</w:t>
            </w:r>
          </w:p>
          <w:p>
            <w:pPr>
              <w:pStyle w:val="Normal"/>
              <w:keepNext w:val="true"/>
              <w:keepLines/>
              <w:spacing w:lineRule="atLeast" w:line="240"/>
              <w:rPr>
                <w:rFonts w:ascii="Arial" w:hAnsi="Arial" w:cs="Arial"/>
                <w:szCs w:val="22"/>
              </w:rPr>
            </w:pPr>
            <w:r>
              <w:rPr>
                <w:rFonts w:cs="Arial" w:ascii="Arial" w:hAnsi="Arial"/>
                <w:szCs w:val="22"/>
              </w:rPr>
              <w:t>Attn.:  Director, Documentation Department</w:t>
            </w:r>
          </w:p>
          <w:p>
            <w:pPr>
              <w:pStyle w:val="Normal"/>
              <w:keepNext w:val="true"/>
              <w:keepLines/>
              <w:spacing w:lineRule="atLeast" w:line="240"/>
              <w:rPr>
                <w:sz w:val="22"/>
                <w:szCs w:val="22"/>
              </w:rPr>
            </w:pPr>
            <w:r>
              <w:rPr>
                <w:rFonts w:cs="Arial" w:ascii="Arial" w:hAnsi="Arial"/>
                <w:szCs w:val="22"/>
              </w:rPr>
              <w:t>Fax No.:  (713) 646-4816</w:t>
            </w:r>
          </w:p>
        </w:tc>
        <w:tc>
          <w:tcPr>
            <w:tcW w:w="4860" w:type="dxa"/>
            <w:tcBorders/>
          </w:tcPr>
          <w:p>
            <w:pPr>
              <w:pStyle w:val="SingleSpace"/>
              <w:spacing w:before="0" w:after="240"/>
              <w:ind w:hanging="0" w:end="0"/>
              <w:rPr>
                <w:rFonts w:ascii="Arial" w:hAnsi="Arial" w:cs="Arial"/>
              </w:rPr>
            </w:pPr>
            <w:r>
              <w:rPr>
                <w:rFonts w:cs="Arial" w:ascii="Arial" w:hAnsi="Arial"/>
              </w:rPr>
              <w:t xml:space="preserve">ENRON NORTH AMERICA CORP. </w:t>
              <w:br/>
              <w:br/>
              <w:br/>
              <w:br/>
              <w:t>By</w:t>
            </w:r>
            <w:r>
              <w:rPr>
                <w:rFonts w:cs="Arial" w:ascii="Arial" w:hAnsi="Arial"/>
                <w:u w:val="single"/>
              </w:rPr>
              <w:tab/>
              <w:tab/>
              <w:tab/>
              <w:tab/>
              <w:tab/>
            </w:r>
          </w:p>
        </w:tc>
      </w:tr>
    </w:tbl>
    <w:p>
      <w:pPr>
        <w:pStyle w:val="CG-SingleSp"/>
        <w:spacing w:before="0" w:after="240"/>
        <w:rPr>
          <w:rFonts w:ascii="Arial" w:hAnsi="Arial" w:cs="Arial"/>
        </w:rPr>
      </w:pPr>
      <w:r>
        <w:rPr>
          <w:rFonts w:cs="Arial" w:ascii="Arial" w:hAnsi="Arial"/>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rPr>
              <w:rStyle w:val="iManageFooter"/>
            </w:rPr>
          </w:pPr>
          <w:r>
            <w:rPr/>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c>
      <w:tc>
        <w:tcPr>
          <w:tcW w:w="3192" w:type="dxa"/>
          <w:tcBorders/>
        </w:tcPr>
        <w:p>
          <w:pPr>
            <w:pStyle w:val="Footer"/>
            <w:snapToGrid w:val="false"/>
            <w:jc w:val="end"/>
            <w:rPr>
              <w:rStyle w:val="FooterRightSideText"/>
            </w:rPr>
          </w:pPr>
          <w:r>
            <w:rPr/>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#739921</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v1]</w:t>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snapToGrid w:val="false"/>
            <w:jc w:val="end"/>
            <w:rPr>
              <w:rStyle w:val="FooterRightSideText"/>
            </w:rPr>
          </w:pPr>
          <w:r>
            <w:rPr/>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lowerRoman"/>
      <w:lvlText w:val="(%1)"/>
      <w:lvlJc w:val="end"/>
      <w:pPr>
        <w:tabs>
          <w:tab w:val="num" w:pos="504"/>
        </w:tabs>
        <w:ind w:start="504" w:hanging="216"/>
      </w:pPr>
    </w:lvl>
  </w:abstractNum>
  <w:abstractNum w:abstractNumId="16">
    <w:lvl w:ilvl="0">
      <w:start w:val="1"/>
      <w:numFmt w:val="lowerLetter"/>
      <w:lvlText w:val="(%1)"/>
      <w:lvlJc w:val="start"/>
      <w:pPr>
        <w:tabs>
          <w:tab w:val="num" w:pos="360"/>
        </w:tabs>
        <w:ind w:start="360" w:hanging="360"/>
      </w:pPr>
    </w:lvl>
  </w:abstractNum>
  <w:abstractNum w:abstractNumId="17">
    <w:lvl w:ilvl="0">
      <w:start w:val="1"/>
      <w:numFmt w:val="upperRoman"/>
      <w:lvlText w:val="%1."/>
      <w:lvlJc w:val="start"/>
      <w:pPr>
        <w:tabs>
          <w:tab w:val="num" w:pos="720"/>
        </w:tabs>
        <w:ind w:start="720" w:hanging="72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96446.1"/>
    <w:docVar w:name="DOCX97_10" w:val="3/20/99 8:08:30 PM"/>
    <w:docVar w:name="DOCX97_2" w:val="s:\cgsource\cg_409_dsk19-20-21\wolson\32\1\96446.1"/>
    <w:docVar w:name="DOCX97_3" w:val="WORD7"/>
    <w:docVar w:name="DOCX97_4" w:val="n:\cgtarget\cg_409_dsk19-20-21\wolson\32\1\96446.1"/>
    <w:docVar w:name="DOCX97_5" w:val=" 31232"/>
    <w:docVar w:name="DOCX97_51" w:val="NoDocType"/>
    <w:docVar w:name="DOCX97_6" w:val="61440"/>
    <w:docVar w:name="DOCX97_66" w:val="GoodQuotes"/>
    <w:docVar w:name="DOCX97_8" w:val="2/27/98 10:16:55 PM"/>
    <w:docVar w:name="DOCX97_89" w:val="Word7MacrosDone"/>
    <w:docVar w:name="DOCX97_92" w:val="2/27/98"/>
    <w:docVar w:name="DOCX97_93" w:val="10:17:06 PM"/>
    <w:docVar w:name="PCDocsFooter"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9z0">
    <w:name w:val="WW8Num19z0"/>
    <w:qFormat/>
    <w:rPr>
      <w:rFonts w:ascii="Symbol" w:hAnsi="Symbol" w:cs="Symbol"/>
    </w:rPr>
  </w:style>
  <w:style w:type="character" w:styleId="DefaultParagraphFont">
    <w:name w:val="Default Paragraph Font"/>
    <w:qFormat/>
    <w:rPr>
      <w:lang w:val="en-US"/>
    </w:rPr>
  </w:style>
  <w:style w:type="character" w:styleId="iManageFooter">
    <w:name w:val="iManage Footer"/>
    <w:basedOn w:val="DefaultParagraphFont"/>
    <w:qFormat/>
    <w:rPr>
      <w:sz w:val="16"/>
    </w:rPr>
  </w:style>
  <w:style w:type="character" w:styleId="PageNumber">
    <w:name w:val="page number"/>
    <w:basedOn w:val="DefaultParagraphFont"/>
    <w:rPr/>
  </w:style>
  <w:style w:type="character" w:styleId="FooterRightSideText">
    <w:name w:val="FooterRightSideText"/>
    <w:basedOn w:val="DefaultParagraphFont"/>
    <w:qFormat/>
    <w:rPr/>
  </w:style>
  <w:style w:type="character" w:styleId="ParaNum">
    <w:name w:val="ParaNum"/>
    <w:basedOn w:val="DefaultParagraphFont"/>
    <w:qFormat/>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DblSp">
    <w:name w:val="CG-Dbl Sp"/>
    <w:basedOn w:val="Normal"/>
    <w:qFormat/>
    <w:pPr>
      <w:spacing w:lineRule="auto" w:line="480"/>
    </w:pPr>
    <w:rPr/>
  </w:style>
  <w:style w:type="paragraph" w:styleId="CG-LeftInd05FL05">
    <w:name w:val="CG-Left Ind 0.5 FL 0.5"/>
    <w:basedOn w:val="Normal"/>
    <w:qFormat/>
    <w:pPr>
      <w:spacing w:before="0" w:after="240"/>
      <w:ind w:firstLine="720" w:start="720" w:end="0"/>
    </w:pPr>
    <w:rPr/>
  </w:style>
  <w:style w:type="paragraph" w:styleId="CG-LeftInd05">
    <w:name w:val="CG-Left Ind 0.5"/>
    <w:basedOn w:val="Normal"/>
    <w:qFormat/>
    <w:pPr>
      <w:spacing w:before="0" w:after="240"/>
      <w:ind w:hanging="0" w:start="720" w:end="0"/>
    </w:pPr>
    <w:rPr/>
  </w:style>
  <w:style w:type="paragraph" w:styleId="CG-LeftInd1">
    <w:name w:val="CG-Left Ind 1"/>
    <w:basedOn w:val="Normal"/>
    <w:qFormat/>
    <w:pPr>
      <w:spacing w:before="0" w:after="240"/>
      <w:ind w:hanging="0" w:start="144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Lines/>
      <w:spacing w:before="0" w:after="720"/>
      <w:ind w:hanging="0" w:start="504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SingleSp">
    <w:name w:val="CG-Single Sp"/>
    <w:basedOn w:val="Normal"/>
    <w:qFormat/>
    <w:pPr>
      <w:spacing w:before="0" w:after="240"/>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Underscore">
    <w:name w:val="CG-Title-Left-Underscore"/>
    <w:basedOn w:val="Normal"/>
    <w:next w:val="CG-SingleSp1"/>
    <w:qFormat/>
    <w:pPr>
      <w:keepNext w:val="true"/>
      <w:spacing w:before="0" w:after="24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G-NumberA">
    <w:name w:val="CG-Number A"/>
    <w:basedOn w:val="Normal"/>
    <w:qFormat/>
    <w:pPr>
      <w:numPr>
        <w:ilvl w:val="0"/>
        <w:numId w:val="14"/>
      </w:numPr>
      <w:spacing w:before="0" w:after="240"/>
    </w:pPr>
    <w:rPr/>
  </w:style>
  <w:style w:type="paragraph" w:styleId="CG-NumberL">
    <w:name w:val="CG-Number L"/>
    <w:basedOn w:val="Normal"/>
    <w:qFormat/>
    <w:pPr>
      <w:numPr>
        <w:ilvl w:val="0"/>
        <w:numId w:val="12"/>
      </w:numPr>
      <w:ind w:hanging="720" w:start="1440" w:end="0"/>
    </w:pPr>
    <w:rPr/>
  </w:style>
  <w:style w:type="paragraph" w:styleId="CG-Numberl1">
    <w:name w:val="CG-Number l1"/>
    <w:basedOn w:val="Normal"/>
    <w:qFormat/>
    <w:pPr>
      <w:numPr>
        <w:ilvl w:val="0"/>
        <w:numId w:val="16"/>
      </w:numPr>
      <w:ind w:hanging="720" w:start="1440" w:end="0"/>
    </w:pPr>
    <w:rPr/>
  </w:style>
  <w:style w:type="paragraph" w:styleId="CG-NumberR">
    <w:name w:val="CG-Number R"/>
    <w:basedOn w:val="Normal"/>
    <w:qFormat/>
    <w:pPr>
      <w:numPr>
        <w:ilvl w:val="0"/>
        <w:numId w:val="17"/>
      </w:numPr>
      <w:ind w:hanging="0" w:start="1440" w:end="0"/>
    </w:pPr>
    <w:rPr/>
  </w:style>
  <w:style w:type="paragraph" w:styleId="CG-Numberr1">
    <w:name w:val="CG-Number r1"/>
    <w:basedOn w:val="Normal"/>
    <w:qFormat/>
    <w:pPr>
      <w:numPr>
        <w:ilvl w:val="0"/>
        <w:numId w:val="15"/>
      </w:numPr>
      <w:tabs>
        <w:tab w:val="clear" w:pos="720"/>
      </w:tabs>
      <w:ind w:hanging="720" w:start="1440" w:end="0"/>
    </w:pPr>
    <w:rPr/>
  </w:style>
  <w:style w:type="paragraph" w:styleId="TableBullets">
    <w:name w:val="Table Bullets"/>
    <w:basedOn w:val="Normal"/>
    <w:qFormat/>
    <w:pPr>
      <w:numPr>
        <w:ilvl w:val="0"/>
        <w:numId w:val="18"/>
      </w:numPr>
      <w:spacing w:before="60" w:after="60"/>
    </w:pPr>
    <w:rPr/>
  </w:style>
  <w:style w:type="paragraph" w:styleId="ListBullet">
    <w:name w:val="List Bullet"/>
    <w:basedOn w:val="Normal"/>
    <w:qFormat/>
    <w:pPr>
      <w:numPr>
        <w:ilvl w:val="0"/>
        <w:numId w:val="11"/>
      </w:numPr>
    </w:pPr>
    <w:rPr/>
  </w:style>
  <w:style w:type="paragraph" w:styleId="CG-Bullet">
    <w:name w:val="CG-Bullet"/>
    <w:basedOn w:val="Normal"/>
    <w:qFormat/>
    <w:pPr>
      <w:numPr>
        <w:ilvl w:val="0"/>
        <w:numId w:val="13"/>
      </w:numPr>
    </w:pPr>
    <w:rPr/>
  </w:style>
  <w:style w:type="paragraph" w:styleId="FootnoteText">
    <w:name w:val="footnote text"/>
    <w:basedOn w:val="Normal"/>
    <w:pPr>
      <w:spacing w:before="0" w:after="240"/>
    </w:pPr>
    <w:rPr>
      <w:sz w:val="20"/>
    </w:rPr>
  </w:style>
  <w:style w:type="paragraph" w:styleId="FootnoteTextMore">
    <w:name w:val="Footnote TextMore"/>
    <w:basedOn w:val="FootnoteText"/>
    <w:qFormat/>
    <w:pPr>
      <w:spacing w:before="0" w:after="240"/>
      <w:ind w:hanging="0" w:start="720" w:end="0"/>
    </w:pPr>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z w:val="20"/>
    </w:rPr>
  </w:style>
  <w:style w:type="paragraph" w:styleId="EndnoteTextMore">
    <w:name w:val="Endnote TextMore"/>
    <w:basedOn w:val="EndnoteText"/>
    <w:qFormat/>
    <w:pPr>
      <w:spacing w:before="0" w:after="240"/>
      <w:ind w:hanging="0" w:start="720" w:end="0"/>
    </w:pPr>
    <w:rPr/>
  </w:style>
  <w:style w:type="paragraph" w:styleId="SingleSpace">
    <w:name w:val="Single Space"/>
    <w:basedOn w:val="Normal"/>
    <w:qFormat/>
    <w:pPr>
      <w:spacing w:before="0" w:after="240"/>
      <w:ind w:firstLine="1440" w:start="0" w:end="0"/>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G-OneandOne-Half1">
    <w:name w:val="CG-One and One-Half 1"/>
    <w:basedOn w:val="Normal"/>
    <w:qFormat/>
    <w:pPr>
      <w:spacing w:lineRule="auto" w:line="360" w:before="0" w:after="120"/>
      <w:ind w:firstLine="1440" w:start="0" w:end="0"/>
    </w:pPr>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2001-07-20T19:44:00Z</dcterms:created>
  <dc:creator>WOlson</dc:creator>
  <dc:description/>
  <cp:keywords>Guaranty Agreement</cp:keywords>
  <dc:language>en-CA</dc:language>
  <cp:lastModifiedBy>mheard</cp:lastModifiedBy>
  <cp:lastPrinted>2001-07-23T09:54:00Z</cp:lastPrinted>
  <dcterms:modified xsi:type="dcterms:W3CDTF">2001-07-23T12:25:00Z</dcterms:modified>
  <cp:revision>5</cp:revision>
  <dc:subject>Guaranty model form from NF (Grand Cayman) deal</dc:subject>
  <dc:title>NF (GC)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#739921</vt:lpwstr>
  </property>
  <property fmtid="{D5CDD505-2E9C-101B-9397-08002B2CF9AE}" pid="5" name="DocVersion">
    <vt:lpwstr> v1]</vt:lpwstr>
  </property>
  <property fmtid="{D5CDD505-2E9C-101B-9397-08002B2CF9AE}" pid="6" name="FooterRightSideText">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#739921</vt:lpwstr>
  </property>
  <property fmtid="{D5CDD505-2E9C-101B-9397-08002B2CF9AE}" pid="10" name="SaveDocVersion">
    <vt:lpwstr> v1]</vt:lpwstr>
  </property>
  <property fmtid="{D5CDD505-2E9C-101B-9397-08002B2CF9AE}" pid="11" name="SaveFooterRightSideText">
    <vt:lpwstr/>
  </property>
  <property fmtid="{D5CDD505-2E9C-101B-9397-08002B2CF9AE}" pid="12" name="iManageFooter">
    <vt:lpwstr>AllPages</vt:lpwstr>
  </property>
</Properties>
</file>