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left" w:pos="720" w:leader="none"/>
        </w:tabs>
        <w:ind w:start="360" w:end="0"/>
        <w:rPr>
          <w:rFonts w:ascii="Times" w:hAnsi="Times" w:cs="Times"/>
          <w:sz w:val="23"/>
        </w:rPr>
      </w:pPr>
      <w:r>
        <w:rPr>
          <w:rFonts w:cs="Times" w:ascii="Times" w:hAnsi="Times"/>
          <w:sz w:val="23"/>
        </w:rPr>
      </w:r>
    </w:p>
    <w:p>
      <w:pPr>
        <w:pStyle w:val="Heading3"/>
        <w:rPr/>
      </w:pPr>
      <w:r>
        <w:rPr/>
        <w:t>Peaking Gas Requirements</w:t>
      </w:r>
    </w:p>
    <w:p>
      <w:pPr>
        <w:pStyle w:val="Normal"/>
        <w:rPr>
          <w:sz w:val="22"/>
        </w:rPr>
      </w:pPr>
      <w:r>
        <w:rPr>
          <w:sz w:val="22"/>
        </w:rPr>
      </w:r>
    </w:p>
    <w:p>
      <w:pPr>
        <w:pStyle w:val="Normal"/>
        <w:ind w:start="360" w:end="0"/>
        <w:rPr>
          <w:sz w:val="22"/>
        </w:rPr>
      </w:pPr>
      <w:r>
        <w:rPr>
          <w:sz w:val="22"/>
        </w:rPr>
        <w:t xml:space="preserve">On any Day, Citizens can request up to 7,500 MMBtud of Peaking Gas for delivery by ENA.  The delivery point for Peaking Gas is the Citizens’ city gate, as specified by Citizens.  Peaking Gas shall be delivered using interstate transportation capacity on El Paso or Transwestern that is not part of the firm capacity legally controlled by Citizens.  ENA shall utilize firm capacity obtained from parties other than Citizens via a capacity release transaction, or utilize interruptible capacity, to deliver Peaking Gas.  The parties understand that due to interstate capacity constraints, it might not be possible to deliver Peaking Gas using capacity obtained via capacity release or utilizing interruptible capacity.  ENA is responsible for scheduling Peaking Gas only if, in its reasonable opinion, ENA believes the capacity is available to deliver it.  ENA is responsible for scheduling Peaking Gas on a Firm basis.  However, ENA is not responsible for any pipeline constraints resulting in a shortfall of Peaking Gas deliveries resulting in a shortfall in deliveries to Citizens.  The Price for Gas delivered from other sources shall be ENA’s  cost of such supply, including any penalties incurred for supply scheduled but not taken, plus $.05/MMBtu.  </w:t>
      </w:r>
    </w:p>
    <w:p>
      <w:pPr>
        <w:pStyle w:val="Normal"/>
        <w:tabs>
          <w:tab w:val="clear" w:pos="720"/>
          <w:tab w:val="left" w:pos="2160" w:leader="none"/>
          <w:tab w:val="left" w:pos="5220" w:leader="none"/>
        </w:tabs>
        <w:spacing w:lineRule="atLeast" w:line="240"/>
        <w:ind w:hanging="3960" w:start="3960" w:end="360"/>
        <w:jc w:val="both"/>
        <w:rPr>
          <w:rFonts w:ascii="Times" w:hAnsi="Times" w:cs="Times"/>
          <w:sz w:val="22"/>
        </w:rPr>
      </w:pPr>
      <w:r>
        <w:rPr>
          <w:rFonts w:cs="Times" w:ascii="Times" w:hAnsi="Times"/>
          <w:sz w:val="22"/>
        </w:rPr>
      </w:r>
    </w:p>
    <w:p>
      <w:pPr>
        <w:pStyle w:val="Normal"/>
        <w:spacing w:lineRule="atLeast" w:line="240"/>
        <w:ind w:start="3960" w:end="360"/>
        <w:jc w:val="both"/>
        <w:rPr>
          <w:rFonts w:ascii="Times" w:hAnsi="Times" w:cs="Times"/>
          <w:sz w:val="23"/>
        </w:rPr>
      </w:pPr>
      <w:r>
        <w:rPr>
          <w:rFonts w:cs="Times" w:ascii="Times" w:hAnsi="Times"/>
          <w:sz w:val="23"/>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/mnt/main-storage/datasets/enron-docs/doc/peaking_gas.doc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/mnt/main-storage/datasets/enron-docs/doc/peaking_gas.doc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May 21, 2001</w:t>
    </w:r>
  </w:p>
  <w:p>
    <w:pPr>
      <w:pStyle w:val="Header"/>
      <w:tabs>
        <w:tab w:val="clear" w:pos="4320"/>
        <w:tab w:val="center" w:pos="3330" w:leader="none"/>
        <w:tab w:val="right" w:pos="8640" w:leader="none"/>
      </w:tabs>
      <w:rPr/>
    </w:pPr>
    <w:r>
      <w:rPr>
        <w:sz w:val="23"/>
      </w:rPr>
      <w:t xml:space="preserve">Page </w:t>
    </w:r>
    <w:r>
      <w:rPr>
        <w:sz w:val="23"/>
      </w:rPr>
      <w:fldChar w:fldCharType="begin"/>
    </w:r>
    <w:r>
      <w:rPr>
        <w:sz w:val="23"/>
      </w:rPr>
      <w:instrText xml:space="preserve"> PAGE </w:instrText>
    </w:r>
    <w:r>
      <w:rPr>
        <w:sz w:val="23"/>
      </w:rPr>
      <w:fldChar w:fldCharType="separate"/>
    </w:r>
    <w:r>
      <w:rPr>
        <w:sz w:val="23"/>
      </w:rPr>
      <w:t>0</w:t>
    </w:r>
    <w:r>
      <w:rPr>
        <w:sz w:val="23"/>
      </w:rPr>
      <w:fldChar w:fldCharType="end"/>
    </w:r>
    <w:r>
      <w:rPr>
        <w:sz w:val="23"/>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 w:leader="none"/>
        <w:tab w:val="left" w:pos="1440" w:leader="none"/>
        <w:tab w:val="left" w:pos="2160" w:leader="none"/>
      </w:tabs>
      <w:spacing w:lineRule="atLeast" w:line="240"/>
      <w:ind w:hanging="0" w:start="0" w:end="252"/>
      <w:jc w:val="end"/>
      <w:outlineLvl w:val="0"/>
    </w:pPr>
    <w:rPr>
      <w:rFonts w:ascii="Times" w:hAnsi="Times" w:cs="Times"/>
      <w:sz w:val="23"/>
      <w:u w:val="single"/>
    </w:rPr>
  </w:style>
  <w:style w:type="paragraph" w:styleId="Heading2">
    <w:name w:val="heading 2"/>
    <w:basedOn w:val="Normal"/>
    <w:next w:val="Normal"/>
    <w:qFormat/>
    <w:pPr>
      <w:keepNext w:val="true"/>
      <w:numPr>
        <w:ilvl w:val="0"/>
        <w:numId w:val="2"/>
      </w:numPr>
      <w:tabs>
        <w:tab w:val="left" w:pos="720" w:leader="none"/>
      </w:tabs>
      <w:ind w:hanging="360" w:start="720" w:end="0"/>
      <w:outlineLvl w:val="1"/>
    </w:pPr>
    <w:rPr>
      <w:b/>
    </w:rPr>
  </w:style>
  <w:style w:type="paragraph" w:styleId="Heading3">
    <w:name w:val="heading 3"/>
    <w:basedOn w:val="Normal"/>
    <w:next w:val="Normal"/>
    <w:qFormat/>
    <w:pPr>
      <w:keepNext w:val="true"/>
      <w:numPr>
        <w:ilvl w:val="2"/>
        <w:numId w:val="1"/>
      </w:numPr>
      <w:tabs>
        <w:tab w:val="left" w:pos="720" w:leader="none"/>
      </w:tabs>
      <w:ind w:hanging="0" w:start="360" w:end="0"/>
      <w:outlineLvl w:val="2"/>
    </w:pPr>
    <w:rPr>
      <w:b/>
      <w:bCs/>
      <w:sz w:val="22"/>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360" w:start="1800" w:end="0"/>
    </w:pPr>
    <w:rPr/>
  </w:style>
  <w:style w:type="paragraph" w:styleId="BodyTextIndent2">
    <w:name w:val="Body Text Indent 2"/>
    <w:basedOn w:val="Normal"/>
    <w:qFormat/>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2001-11-07T22:53:00Z</dcterms:created>
  <dc:creator>EW/LN/CB</dc:creator>
  <dc:description/>
  <cp:keywords>Ethan</cp:keywords>
  <dc:language>en-CA</dc:language>
  <cp:lastModifiedBy>cfoster</cp:lastModifiedBy>
  <cp:lastPrinted>2001-06-01T09:09:00Z</cp:lastPrinted>
  <dcterms:modified xsi:type="dcterms:W3CDTF">2001-11-07T22:53:00Z</dcterms:modified>
  <cp:revision>2</cp:revision>
  <dc:subject/>
  <dc:title>Ethan Frome</dc:title>
</cp:coreProperties>
</file>