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start"/>
        <w:rPr/>
      </w:pPr>
      <w:r>
        <w:rPr/>
        <w:t xml:space="preserve">No prior approval required.  </w:t>
      </w:r>
    </w:p>
    <w:p>
      <w:pPr>
        <w:pStyle w:val="BodyText2"/>
        <w:rPr/>
      </w:pPr>
      <w:r>
        <w:rPr/>
      </w:r>
    </w:p>
    <w:p>
      <w:pPr>
        <w:pStyle w:val="BodyText2"/>
        <w:rPr/>
      </w:pPr>
      <w:r>
        <w:rPr/>
      </w:r>
    </w:p>
    <w:p>
      <w:pPr>
        <w:pStyle w:val="BodyText2"/>
        <w:rPr/>
      </w:pPr>
      <w:r>
        <w:rPr/>
        <w:t>Characterization and Cleanup of Concrete Slabs, Pits and Pipe Supports Contaminated With PCBs</w:t>
      </w:r>
    </w:p>
    <w:p>
      <w:pPr>
        <w:pStyle w:val="BodyText2"/>
        <w:rPr/>
      </w:pPr>
      <w:r>
        <w:rPr/>
      </w:r>
    </w:p>
    <w:p>
      <w:pPr>
        <w:pStyle w:val="Heading2"/>
        <w:ind w:hanging="0" w:start="0"/>
        <w:rPr/>
      </w:pPr>
      <w:r>
        <w:rPr/>
        <w:t>Outline</w:t>
      </w:r>
    </w:p>
    <w:p>
      <w:pPr>
        <w:pStyle w:val="Normal"/>
        <w:jc w:val="cente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5"/>
        </w:numPr>
        <w:jc w:val="both"/>
        <w:rPr>
          <w:rFonts w:ascii="Arial" w:hAnsi="Arial" w:cs="Arial"/>
          <w:sz w:val="24"/>
        </w:rPr>
      </w:pPr>
      <w:r>
        <w:rPr>
          <w:rFonts w:cs="Arial" w:ascii="Arial" w:hAnsi="Arial"/>
          <w:sz w:val="24"/>
        </w:rPr>
        <w:t>Cleanup can be performed based on the concentration of PCBs found during characterization under the PCB Mega Rule’s self-implementing cleanup provisions (40 CFR 761.61) or under the PCB Spill Cleanup Policy based on the concentration of PCBs spilled.  Lou believes that cleanup under the self-implementing provisions is the most feasible method so this outline addresses those regulations.</w:t>
      </w:r>
    </w:p>
    <w:p>
      <w:pPr>
        <w:pStyle w:val="Normal"/>
        <w:jc w:val="both"/>
        <w:rPr>
          <w:rFonts w:ascii="Arial" w:hAnsi="Arial" w:cs="Arial"/>
          <w:sz w:val="24"/>
        </w:rPr>
      </w:pPr>
      <w:r>
        <w:rPr>
          <w:rFonts w:cs="Arial" w:ascii="Arial" w:hAnsi="Arial"/>
          <w:sz w:val="24"/>
        </w:rPr>
      </w:r>
    </w:p>
    <w:p>
      <w:pPr>
        <w:pStyle w:val="Normal"/>
        <w:numPr>
          <w:ilvl w:val="0"/>
          <w:numId w:val="4"/>
        </w:numPr>
        <w:jc w:val="both"/>
        <w:rPr>
          <w:rFonts w:ascii="Arial" w:hAnsi="Arial" w:cs="Arial"/>
          <w:sz w:val="24"/>
        </w:rPr>
      </w:pPr>
      <w:r>
        <w:rPr>
          <w:rFonts w:cs="Arial" w:ascii="Arial" w:hAnsi="Arial"/>
          <w:sz w:val="24"/>
        </w:rPr>
        <w:t>Notification:  40 CFR 761.61(a)(3) requires that the following be notified in writing at least 30 days prior to the date cleanup begins:</w:t>
      </w:r>
    </w:p>
    <w:p>
      <w:pPr>
        <w:pStyle w:val="Normal"/>
        <w:jc w:val="both"/>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EPA Regional Administrator</w:t>
      </w:r>
    </w:p>
    <w:p>
      <w:pPr>
        <w:pStyle w:val="Heading1"/>
        <w:ind w:hanging="0" w:start="0"/>
        <w:rPr/>
      </w:pPr>
      <w:r>
        <w:rPr/>
        <w:t>Director of State environmental agency</w:t>
      </w:r>
    </w:p>
    <w:p>
      <w:pPr>
        <w:pStyle w:val="Normal"/>
        <w:jc w:val="center"/>
        <w:rPr>
          <w:rFonts w:ascii="Arial" w:hAnsi="Arial" w:cs="Arial"/>
          <w:sz w:val="24"/>
        </w:rPr>
      </w:pPr>
      <w:r>
        <w:rPr>
          <w:rFonts w:cs="Arial" w:ascii="Arial" w:hAnsi="Arial"/>
          <w:sz w:val="24"/>
        </w:rPr>
        <w:t>Director of county or local environmental agency.</w:t>
      </w:r>
    </w:p>
    <w:p>
      <w:pPr>
        <w:pStyle w:val="Normal"/>
        <w:jc w:val="center"/>
        <w:rPr>
          <w:rFonts w:ascii="Arial" w:hAnsi="Arial" w:cs="Arial"/>
          <w:sz w:val="24"/>
        </w:rPr>
      </w:pPr>
      <w:r>
        <w:rPr>
          <w:rFonts w:cs="Arial" w:ascii="Arial" w:hAnsi="Arial"/>
          <w:sz w:val="24"/>
        </w:rPr>
      </w:r>
    </w:p>
    <w:p>
      <w:pPr>
        <w:pStyle w:val="BodyText"/>
        <w:rPr/>
      </w:pPr>
      <w:r>
        <w:rPr/>
        <w:t>Characterization can and must be performed prior to this notification and is discussed later.  The notification must include:</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The nature of the contamination and the types of materials contaminated.</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A summary of the procedures that were used to sample the contaminated and adjacent areas with a table or site map showing PCB concentrations measured in all pre-cleanup characterization samples.</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The location and extent of the identified contaminated area, including maps with sample sites indicated.</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A cleanup plan for the site including a schedule, disposal technology and approach to cleanup.  The cleanup plan should contain contingencies should higher levels of PCBs be encountered during he cleanup.</w:t>
      </w:r>
    </w:p>
    <w:p>
      <w:pPr>
        <w:pStyle w:val="Normal"/>
        <w:rPr>
          <w:rFonts w:ascii="Arial" w:hAnsi="Arial" w:cs="Arial"/>
          <w:sz w:val="24"/>
        </w:rPr>
      </w:pPr>
      <w:r>
        <w:rPr>
          <w:rFonts w:cs="Arial" w:ascii="Arial" w:hAnsi="Arial"/>
          <w:sz w:val="24"/>
        </w:rPr>
      </w:r>
    </w:p>
    <w:p>
      <w:pPr>
        <w:pStyle w:val="Normal"/>
        <w:numPr>
          <w:ilvl w:val="0"/>
          <w:numId w:val="6"/>
        </w:numPr>
        <w:rPr>
          <w:rFonts w:ascii="Arial" w:hAnsi="Arial" w:cs="Arial"/>
          <w:sz w:val="24"/>
        </w:rPr>
      </w:pPr>
      <w:r>
        <w:rPr>
          <w:rFonts w:cs="Arial" w:ascii="Arial" w:hAnsi="Arial"/>
          <w:sz w:val="24"/>
        </w:rPr>
        <w:t>A written certification signed by the owner of the property that the sampling plans, sample collection procedures and sample preparation were done in accordance with EPA requirements and that the characterization data files are available at a certain location indicated in the certification.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Within the 30 day period, EPA may request changes to the plan.  If EPA does not respond in the 30 day period, it can be assumed that the self-implementing cleanup is approved.  Any change to the plan must be submitted in writing to the EPA within 14 days of the implementation of the change.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rules provide for obtaining a waiver of the notification requirement, however, the waiver must be in writing from each of the agencies required to be notified.  Lou agrees obtaining a waiver to the notification requirement is not feasible.</w:t>
      </w:r>
    </w:p>
    <w:p>
      <w:pPr>
        <w:pStyle w:val="Normal"/>
        <w:rPr>
          <w:rFonts w:ascii="Arial" w:hAnsi="Arial" w:cs="Arial"/>
          <w:sz w:val="24"/>
        </w:rPr>
      </w:pPr>
      <w:r>
        <w:rPr>
          <w:rFonts w:cs="Arial" w:ascii="Arial" w:hAnsi="Arial"/>
          <w:sz w:val="24"/>
        </w:rPr>
      </w:r>
    </w:p>
    <w:p>
      <w:pPr>
        <w:pStyle w:val="Normal"/>
        <w:numPr>
          <w:ilvl w:val="0"/>
          <w:numId w:val="9"/>
        </w:numPr>
        <w:rPr>
          <w:rFonts w:ascii="Arial" w:hAnsi="Arial" w:cs="Arial"/>
          <w:sz w:val="24"/>
        </w:rPr>
      </w:pPr>
      <w:r>
        <w:rPr>
          <w:rFonts w:cs="Arial" w:ascii="Arial" w:hAnsi="Arial"/>
          <w:sz w:val="24"/>
        </w:rPr>
        <w:t>Characterization (PCB Mega Rule Subpart 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Sample point selection for porous surfaces (i.e., concrete) is determined using a square-grid based system.  The surface to be sampled is marked out in a grid pattern oriented on a north-south axis and samples are collected every 1.5 meters in each direction.  A minimum of 3 samples of each surface must be collected.  If the surface is not large enough to allow a minimum of 3 samples using a 1.5 meter grid, alternative methods are available.</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 least 20 milliliters of material or the amount required by the laboratory to achieve sufficient detection sensitivity should be collected.  A core sampler having a diameter of greater than or equal to 2 cm but less than 3 cm must be used.  The material should be collected up to a depth of 7.5 cms.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Samples can be analyzed individually or composited.  The regulations set out compositing procedures.</w:t>
      </w:r>
    </w:p>
    <w:p>
      <w:pPr>
        <w:pStyle w:val="Normal"/>
        <w:rPr>
          <w:rFonts w:ascii="Arial" w:hAnsi="Arial" w:cs="Arial"/>
          <w:sz w:val="24"/>
        </w:rPr>
      </w:pPr>
      <w:r>
        <w:rPr>
          <w:rFonts w:cs="Arial" w:ascii="Arial" w:hAnsi="Arial"/>
          <w:sz w:val="24"/>
        </w:rPr>
      </w:r>
    </w:p>
    <w:p>
      <w:pPr>
        <w:pStyle w:val="Normal"/>
        <w:numPr>
          <w:ilvl w:val="0"/>
          <w:numId w:val="7"/>
        </w:numPr>
        <w:rPr>
          <w:rFonts w:ascii="Arial" w:hAnsi="Arial" w:cs="Arial"/>
          <w:sz w:val="24"/>
        </w:rPr>
      </w:pPr>
      <w:r>
        <w:rPr>
          <w:rFonts w:cs="Arial" w:ascii="Arial" w:hAnsi="Arial"/>
          <w:sz w:val="24"/>
        </w:rPr>
        <w:t>Cleanup Levels 40 CFR 761.61(a)(4)(iii):</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level of cleanup required for porous surfaces depends on whether the area is a  “high occupancy” or “low occupancy” area.</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w:t>
      </w:r>
      <w:r>
        <w:rPr>
          <w:rFonts w:cs="Arial" w:ascii="Arial" w:hAnsi="Arial"/>
          <w:sz w:val="24"/>
        </w:rPr>
        <w:t>High occupancy” – individual not wearing dermal or respiratory protection occupies the area 335 hours a calendar year or more (6.7 average hours per week).</w:t>
      </w:r>
    </w:p>
    <w:p>
      <w:pPr>
        <w:pStyle w:val="Normal"/>
        <w:rPr>
          <w:rFonts w:ascii="Arial" w:hAnsi="Arial" w:cs="Arial"/>
          <w:sz w:val="24"/>
        </w:rPr>
      </w:pPr>
      <w:r>
        <w:rPr>
          <w:rFonts w:cs="Arial" w:ascii="Arial" w:hAnsi="Arial"/>
          <w:sz w:val="24"/>
        </w:rPr>
      </w:r>
    </w:p>
    <w:p>
      <w:pPr>
        <w:pStyle w:val="Normal"/>
        <w:numPr>
          <w:ilvl w:val="0"/>
          <w:numId w:val="3"/>
        </w:numPr>
        <w:rPr>
          <w:rFonts w:ascii="Arial" w:hAnsi="Arial" w:cs="Arial"/>
          <w:sz w:val="24"/>
        </w:rPr>
      </w:pPr>
      <w:r>
        <w:rPr>
          <w:rFonts w:cs="Arial" w:ascii="Arial" w:hAnsi="Arial"/>
          <w:sz w:val="24"/>
        </w:rPr>
        <w:t>“</w:t>
      </w:r>
      <w:r>
        <w:rPr>
          <w:rFonts w:cs="Arial" w:ascii="Arial" w:hAnsi="Arial"/>
          <w:sz w:val="24"/>
        </w:rPr>
        <w:t>Low occupancy” – individual not wearing dermal or respiratory protection occupies the area less than 335 hours a calendar year.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No further action is required at a high occupancy site if it is cleaned up to &lt;1 ppm PCBs.  If the concentration is between 1 and 10 ppm, the area must be covered with a cap (asphalt, concrete, etc.).</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No further action is required at a low occupancy site if it is cleanup up to &lt;25 ppm PCBs.  If the concentration of the material left at the site after cleanup is 25 to 50 ppm if the site is fenced at marked with a PCB label.  Additionally, material may be left in place at a low occupancy site at levels of 25 to 100 ppm PCBs if the site is covered with a cap and presence of the material is deed recorded.  Certification of the deed recordation must be submitted to EPA.</w:t>
      </w:r>
    </w:p>
    <w:p>
      <w:pPr>
        <w:pStyle w:val="Normal"/>
        <w:rPr>
          <w:rFonts w:ascii="Arial" w:hAnsi="Arial" w:cs="Arial"/>
          <w:sz w:val="24"/>
        </w:rPr>
      </w:pPr>
      <w:r>
        <w:rPr>
          <w:rFonts w:cs="Arial" w:ascii="Arial" w:hAnsi="Arial"/>
          <w:sz w:val="24"/>
        </w:rPr>
      </w:r>
      <w:r>
        <w:br w:type="page"/>
      </w:r>
    </w:p>
    <w:p>
      <w:pPr>
        <w:pStyle w:val="Normal"/>
        <w:numPr>
          <w:ilvl w:val="0"/>
          <w:numId w:val="2"/>
        </w:numPr>
        <w:rPr>
          <w:rFonts w:ascii="Arial" w:hAnsi="Arial" w:cs="Arial"/>
          <w:sz w:val="24"/>
        </w:rPr>
      </w:pPr>
      <w:r>
        <w:rPr>
          <w:rFonts w:cs="Arial" w:ascii="Arial" w:hAnsi="Arial"/>
          <w:sz w:val="24"/>
        </w:rPr>
        <w:t>Cleanup Verification:</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Sampling must be performed to demonstrate that cleanup to the levels specified above were achieved.  Sampling for verification is identical to that for site characterization.  If the verification sampling results show the area has been cleaned up the levels specified above, the self-implementing cleanup is complete.  If not, additional cleaning or waste removal must occur followed by verification sampling.</w:t>
      </w:r>
    </w:p>
    <w:p>
      <w:pPr>
        <w:pStyle w:val="Normal"/>
        <w:rPr>
          <w:rFonts w:ascii="Arial" w:hAnsi="Arial" w:cs="Arial"/>
          <w:sz w:val="24"/>
        </w:rPr>
      </w:pPr>
      <w:r>
        <w:rPr>
          <w:rFonts w:cs="Arial" w:ascii="Arial" w:hAnsi="Arial"/>
          <w:sz w:val="24"/>
        </w:rPr>
      </w:r>
    </w:p>
    <w:p>
      <w:pPr>
        <w:pStyle w:val="Normal"/>
        <w:numPr>
          <w:ilvl w:val="0"/>
          <w:numId w:val="8"/>
        </w:numPr>
        <w:rPr>
          <w:rFonts w:ascii="Arial" w:hAnsi="Arial" w:cs="Arial"/>
          <w:sz w:val="24"/>
        </w:rPr>
      </w:pPr>
      <w:r>
        <w:rPr>
          <w:rFonts w:cs="Arial" w:ascii="Arial" w:hAnsi="Arial"/>
          <w:sz w:val="24"/>
        </w:rPr>
        <w:t>Cleanup and Disposal:</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Porous surfaces can be decontaminated for on-site disposal as outlined in 40 CFR 761.79(b) (cleaning with approved solvents).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Materials that are disposed of off-site are presumed contaminated at 50 ppm PCBs or greater unless characterized.  If greater than 50 ppm, the material must be disposed of at a RCRA permitted facility or a TSCA PCB approved facility (i.e., standard PCB disposal requirements).  If the material is contaminated at &lt;50 ppm PCBs and is destined for a facility that is not TSCA approved (i.e., municipal landfill), written notification to the landfill 15 days prior to the first shipment is required.</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Note:  Due to the amount of time it would take to develop a sampling plan, collect samples, receive analytical results and prepare reports for notification in addition to the 30 day notification requirement, it appears that a particular site cleanup could not be performed by the end of the year.  Lou believes that it will be necessary to find a way to spend 1999 dollars for a cleanup to actually occur in 2000.</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8"/>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rFonts w:ascii="Arial" w:hAnsi="Arial" w:cs="Arial"/>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1999-11-22T21:59:00Z</dcterms:created>
  <dc:creator>User</dc:creator>
  <dc:description/>
  <dc:language>en-CA</dc:language>
  <cp:lastModifiedBy>ET&amp;S LAN Support</cp:lastModifiedBy>
  <dcterms:modified xsi:type="dcterms:W3CDTF">1999-11-22T21:59:00Z</dcterms:modified>
  <cp:revision>2</cp:revision>
  <dc:subject/>
  <dc:title>Characterization and Cleanup of Concrete Slabs, Pits and Pipe Supports Contaminated With PCBs</dc:title>
</cp:coreProperties>
</file>