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Characterization and Cleanup of Concrete Slabs (i.e., Porous Materials) and Soil (i.e., Bulk Remediation Waste)</w:t>
      </w:r>
    </w:p>
    <w:p>
      <w:pPr>
        <w:pStyle w:val="Heading2"/>
        <w:ind w:hanging="0" w:start="0"/>
        <w:rPr/>
      </w:pPr>
      <w:r>
        <w:rPr/>
        <w:t>Outline</w:t>
      </w:r>
    </w:p>
    <w:p>
      <w:pPr>
        <w:pStyle w:val="Normal"/>
        <w:rPr/>
      </w:pPr>
      <w:r>
        <w:rPr/>
      </w:r>
    </w:p>
    <w:p>
      <w:pPr>
        <w:pStyle w:val="BodyText3"/>
        <w:rPr>
          <w:rFonts w:ascii="Times New Roman" w:hAnsi="Times New Roman" w:cs="Times New Roman"/>
        </w:rPr>
      </w:pPr>
      <w:r>
        <w:rPr>
          <w:rFonts w:cs="Times New Roman" w:ascii="Times New Roman" w:hAnsi="Times New Roman"/>
        </w:rPr>
        <w:t>Summary – Under EPA’s PCB Mega Rule self-implementing cleanup provisions, both soil and concrete must be cleaned up (by removal for disposal or decontamination) to a minimum level of 100 ppm PCBs in low occupancy areas.  At the 100 ppm level, the area must be capped and deed recorded.  Cleaning up to a level greater than 100 ppm requires “Risk-based disposal approval” from the EPA Regional Administrator.</w:t>
      </w:r>
    </w:p>
    <w:p>
      <w:pPr>
        <w:pStyle w:val="Normal"/>
        <w:rPr>
          <w:rFonts w:ascii="Times New Roman" w:hAnsi="Times New Roman" w:cs="Times New Roman"/>
        </w:rPr>
      </w:pPr>
      <w:r>
        <w:rPr>
          <w:rFonts w:cs="Times New Roman"/>
        </w:rPr>
      </w:r>
    </w:p>
    <w:p>
      <w:pPr>
        <w:pStyle w:val="Normal"/>
        <w:numPr>
          <w:ilvl w:val="0"/>
          <w:numId w:val="5"/>
        </w:numPr>
        <w:jc w:val="both"/>
        <w:rPr>
          <w:rFonts w:ascii="Arial" w:hAnsi="Arial" w:cs="Arial"/>
          <w:sz w:val="24"/>
        </w:rPr>
      </w:pPr>
      <w:r>
        <w:rPr>
          <w:rFonts w:cs="Arial" w:ascii="Arial" w:hAnsi="Arial"/>
          <w:sz w:val="24"/>
        </w:rPr>
        <w:t>Cleanup can be performed based on the concentration of PCBs found during characterization under the PCB Mega Rule’s self-implementing cleanup provisions (40 CFR 761.61) or under the PCB Spill Cleanup Policy based on the concentration of PCBs spilled.  The following is based on the self-implementing cleanup provisions.</w:t>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sz w:val="24"/>
        </w:rPr>
      </w:pPr>
      <w:r>
        <w:rPr>
          <w:rFonts w:cs="Arial" w:ascii="Arial" w:hAnsi="Arial"/>
          <w:sz w:val="24"/>
        </w:rPr>
        <w:t>Notification:  40 CFR 761.61(a)(3) requires that the following be notified in writing at least 30 days prior to the date cleanup begins:</w:t>
      </w:r>
    </w:p>
    <w:p>
      <w:pPr>
        <w:pStyle w:val="Normal"/>
        <w:jc w:val="both"/>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EPA Regional Administrator</w:t>
      </w:r>
    </w:p>
    <w:p>
      <w:pPr>
        <w:pStyle w:val="Heading1"/>
        <w:ind w:hanging="0" w:start="0"/>
        <w:rPr/>
      </w:pPr>
      <w:r>
        <w:rPr/>
        <w:t>Director of State environmental agency</w:t>
      </w:r>
    </w:p>
    <w:p>
      <w:pPr>
        <w:pStyle w:val="Normal"/>
        <w:jc w:val="center"/>
        <w:rPr>
          <w:rFonts w:ascii="Arial" w:hAnsi="Arial" w:cs="Arial"/>
          <w:sz w:val="24"/>
        </w:rPr>
      </w:pPr>
      <w:r>
        <w:rPr>
          <w:rFonts w:cs="Arial" w:ascii="Arial" w:hAnsi="Arial"/>
          <w:sz w:val="24"/>
        </w:rPr>
        <w:t>Director of county or local environmental agency.</w:t>
      </w:r>
    </w:p>
    <w:p>
      <w:pPr>
        <w:pStyle w:val="Normal"/>
        <w:jc w:val="center"/>
        <w:rPr>
          <w:rFonts w:ascii="Arial" w:hAnsi="Arial" w:cs="Arial"/>
          <w:sz w:val="24"/>
        </w:rPr>
      </w:pPr>
      <w:r>
        <w:rPr>
          <w:rFonts w:cs="Arial" w:ascii="Arial" w:hAnsi="Arial"/>
          <w:sz w:val="24"/>
        </w:rPr>
      </w:r>
    </w:p>
    <w:p>
      <w:pPr>
        <w:pStyle w:val="BodyText"/>
        <w:rPr/>
      </w:pPr>
      <w:r>
        <w:rPr/>
        <w:t>Characterization can and must be performed prior to this notification and is discussed later.  The notification must include:</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The nature of the contamination and the types of materials contaminated.</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A summary of the procedures that were used to sample the contaminated and adjacent areas with a table or site map showing PCB concentrations measured in all pre-cleanup characterization samples.</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The location and extent of the identified contaminated area, including maps with sample sites indicated.</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A cleanup plan for the site including a schedule, disposal technology and approach to cleanup.  The cleanup plan should contain contingencies should higher levels of PCBs be encountered during he cleanup.</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A written certification signed by the owner of the property that the sampling plans, sample collection procedures and sample preparation were done in accordance with EPA requirements and that the characterization data files are available at a certain location indicated in the certification.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Within the 30 day period, EPA may request changes to the plan.  If EPA does not respond in the 30 day period, it can be assumed that the self-implementing cleanup is approved.  Any change to the plan must be submitted in writing to the EPA within 14 days of the implementation of the change.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rules provide for obtaining a waiver of the notification requirement, however, the waiver must be in writing from each of the agencies required to be notified.</w:t>
      </w:r>
    </w:p>
    <w:p>
      <w:pPr>
        <w:pStyle w:val="Normal"/>
        <w:rPr>
          <w:rFonts w:ascii="Arial" w:hAnsi="Arial" w:cs="Arial"/>
          <w:sz w:val="24"/>
        </w:rPr>
      </w:pPr>
      <w:r>
        <w:rPr>
          <w:rFonts w:cs="Arial" w:ascii="Arial" w:hAnsi="Arial"/>
          <w:sz w:val="24"/>
        </w:rPr>
      </w:r>
    </w:p>
    <w:p>
      <w:pPr>
        <w:pStyle w:val="Normal"/>
        <w:numPr>
          <w:ilvl w:val="0"/>
          <w:numId w:val="9"/>
        </w:numPr>
        <w:rPr>
          <w:rFonts w:ascii="Arial" w:hAnsi="Arial" w:cs="Arial"/>
          <w:sz w:val="24"/>
        </w:rPr>
      </w:pPr>
      <w:r>
        <w:rPr>
          <w:rFonts w:cs="Arial" w:ascii="Arial" w:hAnsi="Arial"/>
          <w:sz w:val="24"/>
        </w:rPr>
        <w:t>Characterization (PCB Mega Rule Subpart N):</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Sample point selection for porous (i.e., concrete) </w:t>
      </w:r>
      <w:r>
        <w:rPr>
          <w:rFonts w:cs="Arial" w:ascii="Arial" w:hAnsi="Arial"/>
          <w:b/>
          <w:sz w:val="24"/>
        </w:rPr>
        <w:t>and soil</w:t>
      </w:r>
      <w:r>
        <w:rPr>
          <w:rFonts w:cs="Arial" w:ascii="Arial" w:hAnsi="Arial"/>
          <w:sz w:val="24"/>
        </w:rPr>
        <w:t xml:space="preserve"> that is still in place is determined using a square-grid based system.  The surface to be sampled is marked out in a grid pattern oriented on a north-south axis and samples are collected every 1.5 meters in each direction.  A minimum of 3 samples of each surface must be collected.  If the surface is not large enough to allow a minimum of 3 samples using a 1.5 meter grid, alternative methods are available.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At least 20 milliliters of material or the amount required by the laboratory to achieve sufficient detection sensitivity should be collected.  A core sampler having a diameter of greater than or equal to 2 cm but less than 3 cm must be used.  The material should be collected up to a depth of 7.5 cms.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Samples can be analyzed individually or composited.  The regulations set out compositing procedures.</w:t>
      </w:r>
    </w:p>
    <w:p>
      <w:pPr>
        <w:pStyle w:val="Normal"/>
        <w:rPr>
          <w:rFonts w:ascii="Arial" w:hAnsi="Arial" w:cs="Arial"/>
          <w:sz w:val="24"/>
        </w:rPr>
      </w:pPr>
      <w:r>
        <w:rPr>
          <w:rFonts w:cs="Arial" w:ascii="Arial" w:hAnsi="Arial"/>
          <w:sz w:val="24"/>
        </w:rPr>
      </w:r>
    </w:p>
    <w:p>
      <w:pPr>
        <w:pStyle w:val="Normal"/>
        <w:numPr>
          <w:ilvl w:val="0"/>
          <w:numId w:val="7"/>
        </w:numPr>
        <w:rPr>
          <w:rFonts w:ascii="Arial" w:hAnsi="Arial" w:cs="Arial"/>
          <w:sz w:val="24"/>
        </w:rPr>
      </w:pPr>
      <w:r>
        <w:rPr>
          <w:rFonts w:cs="Arial" w:ascii="Arial" w:hAnsi="Arial"/>
          <w:sz w:val="24"/>
        </w:rPr>
        <w:t>Cleanup Levels 40 CFR 761.61(a)(4)(i) (soil) and (iii) (concrete):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level of cleanup level required depends on whether the area is a  “high occupancy” or “low occupancy” area.</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w:t>
      </w:r>
      <w:r>
        <w:rPr>
          <w:rFonts w:cs="Arial" w:ascii="Arial" w:hAnsi="Arial"/>
          <w:sz w:val="24"/>
        </w:rPr>
        <w:t>High occupancy” – individual not wearing dermal or respiratory protection occupies the area 335 hours a calendar year or more (6.7 average hours per week).</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w:t>
      </w:r>
      <w:r>
        <w:rPr>
          <w:rFonts w:cs="Arial" w:ascii="Arial" w:hAnsi="Arial"/>
          <w:sz w:val="24"/>
        </w:rPr>
        <w:t>Low occupancy” – individual not wearing dermal or respiratory protection occupies the area less than 335 hours a calendar year.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No further action is required at a high occupancy site if it is cleaned up to &lt;1 ppm PCBs.  If the concentration is between 1 and 10 ppm, the area must be covered with a cap (asphalt, concrete, etc.).</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No further action is required at a low occupancy site if it is cleanup up to &lt;25 ppm PCBs.  If the concentration of the material left at the site after cleanup is 25 to 50 ppm if the site is fenced at marked with a PCB label.  Additionally, material may be left in place at a low occupancy site at levels of 25 to 100 ppm PCBs if the site is covered with a cap and presence of the material is deed recorded.  Certification of the deed recordation must be submitted to EPA.</w:t>
      </w:r>
    </w:p>
    <w:p>
      <w:pPr>
        <w:pStyle w:val="Normal"/>
        <w:rPr>
          <w:rFonts w:ascii="Arial" w:hAnsi="Arial" w:cs="Arial"/>
          <w:sz w:val="24"/>
        </w:rPr>
      </w:pPr>
      <w:r>
        <w:rPr>
          <w:rFonts w:cs="Arial" w:ascii="Arial" w:hAnsi="Arial"/>
          <w:sz w:val="24"/>
        </w:rPr>
      </w:r>
    </w:p>
    <w:p>
      <w:pPr>
        <w:pStyle w:val="BodyText3"/>
        <w:rPr/>
      </w:pPr>
      <w:r>
        <w:rPr/>
        <w:t>Risk-Based Cleanup Levels - Any person wishing to cleanup to levels other than those listed above must apply with writing to the EPA Regional Administrator in the Region where the cleanup site is located.  Each application must contain the information required in the notification (described above).  EPA may  request additional information.  Cleanup in a manner other than described above or to levels other than set out above must be approved in writing before cleanup activities begin.  See 40 CFR 761.61 (c).</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Cleanup Verification: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Sampling must be performed to demonstrate that cleanup to the levels specified above were achieved.  Sampling for verification is identical to that for site characterization.  If the verification sampling results show the area has been cleaned up the levels specified above, the self-implementing cleanup is complete.  If not, additional cleaning or waste removal must occur followed by verification sampling.</w:t>
      </w:r>
    </w:p>
    <w:p>
      <w:pPr>
        <w:pStyle w:val="Normal"/>
        <w:rPr>
          <w:rFonts w:ascii="Arial" w:hAnsi="Arial" w:cs="Arial"/>
          <w:sz w:val="24"/>
        </w:rPr>
      </w:pPr>
      <w:r>
        <w:rPr>
          <w:rFonts w:cs="Arial" w:ascii="Arial" w:hAnsi="Arial"/>
          <w:sz w:val="24"/>
        </w:rPr>
      </w:r>
    </w:p>
    <w:p>
      <w:pPr>
        <w:pStyle w:val="Normal"/>
        <w:numPr>
          <w:ilvl w:val="0"/>
          <w:numId w:val="8"/>
        </w:numPr>
        <w:rPr>
          <w:rFonts w:ascii="Arial" w:hAnsi="Arial" w:cs="Arial"/>
          <w:sz w:val="24"/>
        </w:rPr>
      </w:pPr>
      <w:r>
        <w:rPr>
          <w:rFonts w:cs="Arial" w:ascii="Arial" w:hAnsi="Arial"/>
          <w:sz w:val="24"/>
        </w:rPr>
        <w:t>Cleanup and Disposal:</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Concrete can be decontaminated for on-site disposal as outlined in 40 CFR 761.79(b) (cleaning with approved solvents).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Soil can be decontaminated on or offsite using a soil washing technique provided that the soil washing is accomplished using a non-chlorinated solvent, the process occurs at ambient temperature, the process is not exothermic, the process uses no external heat and the process has secondary containment to prevent any solvent from being released to the underlying or surrounding soils or surface waters.  See 40 CFR 761.61(a)(5)(I).</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Materials that are disposed of off-site are presumed contaminated at 50 ppm PCBs or greater unless characterized.  If greater than 50 ppm, the material must be disposed of at a RCRA permitted facility or a TSCA PCB approved facility (i.e., standard PCB disposal requirements).  If the material is contaminated at &lt;50 ppm PCBs and is destined for a facility that is not TSCA approved (i.e., municipal landfill), written notification to the landfill 15 days prior to the first shipment is required. </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8"/>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Arial" w:hAnsi="Arial" w:cs="Arial"/>
      <w:sz w:val="28"/>
    </w:rPr>
  </w:style>
  <w:style w:type="paragraph" w:styleId="BodyText3">
    <w:name w:val="Body Text 3"/>
    <w:basedOn w:val="Normal"/>
    <w:qFormat/>
    <w:pPr/>
    <w:rPr>
      <w:rFonts w:ascii="Arial" w:hAnsi="Arial" w:cs="Arial"/>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2000-01-21T14:32:00Z</dcterms:created>
  <dc:creator>User</dc:creator>
  <dc:description/>
  <dc:language>en-CA</dc:language>
  <cp:lastModifiedBy>Sue Fernandez</cp:lastModifiedBy>
  <cp:lastPrinted>2000-01-21T11:02:00Z</cp:lastPrinted>
  <dcterms:modified xsi:type="dcterms:W3CDTF">2000-01-21T14:35:00Z</dcterms:modified>
  <cp:revision>3</cp:revision>
  <dc:subject/>
  <dc:title>Characterization and Cleanup of Concrete Slabs, Pits and Pipe Supports Contaminated With PCBs</dc:title>
</cp:coreProperties>
</file>