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r>
        <mc:AlternateContent>
          <mc:Choice Requires="wps">
            <w:drawing>
              <wp:anchor behindDoc="0" distT="0" distB="0" distL="0" distR="0" simplePos="0" locked="0" layoutInCell="0" allowOverlap="1" relativeHeight="2">
                <wp:simplePos x="0" y="0"/>
                <wp:positionH relativeFrom="margin">
                  <wp:posOffset>5255895</wp:posOffset>
                </wp:positionH>
                <wp:positionV relativeFrom="paragraph">
                  <wp:posOffset>635</wp:posOffset>
                </wp:positionV>
                <wp:extent cx="5962650" cy="373380"/>
                <wp:effectExtent l="0" t="0" r="0" b="0"/>
                <wp:wrapSquare wrapText="bothSides"/>
                <wp:docPr id="1" name="Frame1"/>
                <a:graphic xmlns:a="http://schemas.openxmlformats.org/drawingml/2006/main">
                  <a:graphicData uri="http://schemas.microsoft.com/office/word/2010/wordprocessingShape">
                    <wps:wsp>
                      <wps:cNvSpPr txBox="1"/>
                      <wps:spPr>
                        <a:xfrm>
                          <a:off x="0" y="0"/>
                          <a:ext cx="5962650" cy="373380"/>
                        </a:xfrm>
                        <a:prstGeom prst="rect"/>
                        <a:solidFill>
                          <a:srgbClr val="FFFFFF">
                            <a:alpha val="0"/>
                          </a:srgbClr>
                        </a:solidFill>
                        <a:ln w="9525">
                          <a:solidFill>
                            <a:srgbClr val="000000"/>
                          </a:solidFill>
                        </a:ln>
                      </wps:spPr>
                      <wps:txbx>
                        <w:txbxContent>
                          <w:p>
                            <w:pPr>
                              <w:pStyle w:val="Normal"/>
                              <w:widowControl/>
                              <w:shd w:fill="F2F2F2" w:val="clear"/>
                              <w:rPr>
                                <w:b/>
                                <w:sz w:val="24"/>
                              </w:rPr>
                            </w:pPr>
                            <w:r>
                              <w:rPr>
                                <w:b/>
                                <w:sz w:val="24"/>
                              </w:rPr>
                              <w:t>DRAFT</w:t>
                            </w:r>
                          </w:p>
                          <w:p>
                            <w:pPr>
                              <w:pStyle w:val="Normal"/>
                              <w:widowControl/>
                              <w:shd w:fill="F2F2F2" w:val="clear"/>
                              <w:rPr>
                                <w:sz w:val="24"/>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p>
                        </w:txbxContent>
                      </wps:txbx>
                      <wps:bodyPr anchor="t" lIns="0" tIns="0" rIns="0" bIns="0">
                        <a:noAutofit/>
                      </wps:bodyPr>
                    </wps:wsp>
                  </a:graphicData>
                </a:graphic>
              </wp:anchor>
            </w:drawing>
          </mc:Choice>
          <mc:Fallback>
            <w:pict>
              <v:rect fillcolor="#FFFFFF" strokecolor="#000000" strokeweight="0pt" style="position:absolute;rotation:-0;width:469.5pt;height:29.4pt;mso-wrap-distance-left:0pt;mso-wrap-distance-right:0pt;mso-wrap-distance-top:0pt;mso-wrap-distance-bottom:0pt;margin-top:0pt;mso-position-vertical:top;mso-position-vertical-relative:text;margin-left:413.85pt;mso-position-horizontal-relative:margin">
                <v:fill opacity="0f"/>
                <v:textbox inset="0in,0in,0in,0in">
                  <w:txbxContent>
                    <w:p>
                      <w:pPr>
                        <w:pStyle w:val="Normal"/>
                        <w:widowControl/>
                        <w:shd w:fill="F2F2F2" w:val="clear"/>
                        <w:rPr>
                          <w:b/>
                          <w:sz w:val="24"/>
                        </w:rPr>
                      </w:pPr>
                      <w:r>
                        <w:rPr>
                          <w:b/>
                          <w:sz w:val="24"/>
                        </w:rPr>
                        <w:t>DRAFT</w:t>
                      </w:r>
                    </w:p>
                    <w:p>
                      <w:pPr>
                        <w:pStyle w:val="Normal"/>
                        <w:widowControl/>
                        <w:shd w:fill="F2F2F2" w:val="clear"/>
                        <w:rPr>
                          <w:sz w:val="24"/>
                        </w:rPr>
                      </w:pPr>
                      <w:r>
                        <w:rPr>
                          <w:sz w:val="24"/>
                        </w:rPr>
                        <w:fldChar w:fldCharType="begin"/>
                      </w:r>
                      <w:r>
                        <w:rPr>
                          <w:sz w:val="24"/>
                        </w:rPr>
                        <w:instrText xml:space="preserve"> DATE \@"M\/d\/yy" </w:instrText>
                      </w:r>
                      <w:r>
                        <w:rPr>
                          <w:sz w:val="24"/>
                        </w:rPr>
                        <w:fldChar w:fldCharType="separate"/>
                      </w:r>
                      <w:r>
                        <w:rPr>
                          <w:sz w:val="24"/>
                        </w:rPr>
                        <w:t>9/28/25</w:t>
                      </w:r>
                      <w:r>
                        <w:rPr>
                          <w:sz w:val="24"/>
                        </w:rPr>
                        <w:fldChar w:fldCharType="end"/>
                      </w:r>
                    </w:p>
                  </w:txbxContent>
                </v:textbox>
                <w10:wrap type="square"/>
              </v:rect>
            </w:pict>
          </mc:Fallback>
        </mc:AlternateConten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jc w:val="center"/>
        <w:rPr>
          <w:b/>
          <w:sz w:val="24"/>
        </w:rPr>
      </w:pPr>
      <w:r>
        <w:rPr>
          <w:b/>
          <w:sz w:val="24"/>
        </w:rPr>
        <w:t>PAYMENT AGENT AGREEMENT</w:t>
      </w:r>
    </w:p>
    <w:p>
      <w:pPr>
        <w:pStyle w:val="Normal"/>
        <w:widowControl/>
        <w:jc w:val="center"/>
        <w:rPr>
          <w:sz w:val="24"/>
        </w:rPr>
      </w:pPr>
      <w:r>
        <w:rPr>
          <w:b/>
          <w:sz w:val="24"/>
        </w:rPr>
        <w:t>OUTLINE</w:t>
      </w:r>
    </w:p>
    <w:p>
      <w:pPr>
        <w:pStyle w:val="Normal"/>
        <w:widowControl/>
        <w:rPr>
          <w:sz w:val="24"/>
        </w:rPr>
      </w:pPr>
      <w:r>
        <w:rPr>
          <w:sz w:val="24"/>
        </w:rPr>
      </w:r>
    </w:p>
    <w:p>
      <w:pPr>
        <w:pStyle w:val="Normal"/>
        <w:widowControl/>
        <w:rPr/>
      </w:pPr>
      <w:r>
        <w:rPr>
          <w:i/>
          <w:sz w:val="24"/>
        </w:rPr>
        <w:t>Purpose of Agreement:</w:t>
      </w:r>
      <w:r>
        <w:rPr>
          <w:sz w:val="24"/>
        </w:rPr>
        <w:t xml:space="preserve"> The Collection and Payment Agent (the "Agent") Agreement (the "CPA Agreement") is required to preserve the financial position of BPA's third-party debt holders and of its net-billed participants (net-billing described below) with respect to BPA’s obligations for certain generating nuclear resources.  The CPA Agreement would empower an entity (escrow agent or bank) to collect all of the revenues from the provision through RTO West  transmission services and ancillary products, and to make payments of such revenues directly to the Transmission Owners (defined below) and to RTO West.</w:t>
      </w:r>
    </w:p>
    <w:p>
      <w:pPr>
        <w:pStyle w:val="Normal"/>
        <w:widowControl/>
        <w:rPr>
          <w:sz w:val="24"/>
        </w:rPr>
      </w:pPr>
      <w:r>
        <w:rPr>
          <w:sz w:val="24"/>
        </w:rPr>
      </w:r>
    </w:p>
    <w:p>
      <w:pPr>
        <w:pStyle w:val="Normal"/>
        <w:widowControl/>
        <w:rPr>
          <w:sz w:val="24"/>
        </w:rPr>
      </w:pPr>
      <w:r>
        <w:rPr>
          <w:i/>
          <w:sz w:val="24"/>
        </w:rPr>
        <w:t>Key Concepts/Terms:</w:t>
      </w:r>
    </w:p>
    <w:p>
      <w:pPr>
        <w:pStyle w:val="Normal"/>
        <w:widowControl/>
        <w:rPr>
          <w:sz w:val="24"/>
        </w:rPr>
      </w:pPr>
      <w:r>
        <w:rPr>
          <w:sz w:val="24"/>
        </w:rPr>
      </w:r>
    </w:p>
    <w:p>
      <w:pPr>
        <w:pStyle w:val="Normal"/>
        <w:widowControl/>
        <w:rPr>
          <w:sz w:val="24"/>
        </w:rPr>
      </w:pPr>
      <w:r>
        <w:rPr>
          <w:sz w:val="24"/>
        </w:rPr>
        <w:tab/>
        <w:t>1.  The parties to the CPA Agreement would be RTO West, the Transmission Owners and the Agent.  Transmission Owners that turn the operation of their facilities over to RTO West following its implementation will execute the CPA Agreement at that time.</w:t>
      </w:r>
    </w:p>
    <w:p>
      <w:pPr>
        <w:pStyle w:val="Normal"/>
        <w:widowControl/>
        <w:rPr>
          <w:sz w:val="24"/>
        </w:rPr>
      </w:pPr>
      <w:r>
        <w:rPr>
          <w:sz w:val="24"/>
        </w:rPr>
      </w:r>
    </w:p>
    <w:p>
      <w:pPr>
        <w:pStyle w:val="Normal"/>
        <w:widowControl/>
        <w:rPr>
          <w:sz w:val="24"/>
        </w:rPr>
      </w:pPr>
      <w:r>
        <w:rPr>
          <w:sz w:val="24"/>
        </w:rPr>
        <w:tab/>
        <w:t>2.  All RTO West and Transmission Owner revenues from the provision of transmission services would flow through the Agent.  RTO West customers would be instructed to make all payments to the Agent.  Each Transmission Owner and RTO West would be allocated a percentage of revenue, which would then be paid by the Agent to such Transmission Owner or RTO West.  In the event RTO West erroneously receives any payments directly from transmission customers, it will immediately forward those to the Agent for payment pursuant to the CPA Agreement.</w:t>
      </w:r>
    </w:p>
    <w:p>
      <w:pPr>
        <w:pStyle w:val="Normal"/>
        <w:widowControl/>
        <w:rPr>
          <w:sz w:val="24"/>
        </w:rPr>
      </w:pPr>
      <w:r>
        <w:rPr>
          <w:sz w:val="24"/>
        </w:rPr>
      </w:r>
    </w:p>
    <w:p>
      <w:pPr>
        <w:pStyle w:val="Normal"/>
        <w:widowControl/>
        <w:rPr>
          <w:sz w:val="24"/>
        </w:rPr>
      </w:pPr>
      <w:r>
        <w:rPr>
          <w:sz w:val="24"/>
        </w:rPr>
        <w:tab/>
        <w:t>3.  The respective percentages of the Transmission Owners and of RTO West could be based on the ratio of such Transmission Owners' annual revenue requirement to the total of all Transmission Owners' and RTO West's revenue requirements.  [The mechanism used in the CPA Agreement to allot revenues will depend on determinations to be made by the Transmission Pricing Workgroup.]</w:t>
      </w:r>
    </w:p>
    <w:p>
      <w:pPr>
        <w:pStyle w:val="Normal"/>
        <w:widowControl/>
        <w:rPr>
          <w:sz w:val="24"/>
        </w:rPr>
      </w:pPr>
      <w:r>
        <w:rPr>
          <w:sz w:val="24"/>
        </w:rPr>
      </w:r>
    </w:p>
    <w:p>
      <w:pPr>
        <w:pStyle w:val="Normal"/>
        <w:widowControl/>
        <w:rPr>
          <w:sz w:val="24"/>
        </w:rPr>
      </w:pPr>
      <w:r>
        <w:rPr>
          <w:sz w:val="24"/>
        </w:rPr>
        <w:tab/>
        <w:t>4.  The CPA Agreement would contain an exhibit setting forth the various Transmission Owners' and RTO West's percentages.  The parties could amend such percentages by mutual agreement, provided that the CPA Agreement will include a mechanism for automatic adjustment in the event new Transmission Owners join RTO West or current Transmission Owners opt out. The percentages also would be adjustable to reflect variations in the parties’ respective FERC-approved revenue requirements.</w:t>
      </w:r>
    </w:p>
    <w:p>
      <w:pPr>
        <w:pStyle w:val="Normal"/>
        <w:widowControl/>
        <w:rPr>
          <w:sz w:val="24"/>
        </w:rPr>
      </w:pPr>
      <w:r>
        <w:rPr>
          <w:sz w:val="24"/>
        </w:rPr>
      </w:r>
    </w:p>
    <w:p>
      <w:pPr>
        <w:pStyle w:val="Normal"/>
        <w:widowControl/>
        <w:rPr>
          <w:sz w:val="24"/>
        </w:rPr>
      </w:pPr>
      <w:r>
        <w:rPr>
          <w:sz w:val="24"/>
        </w:rPr>
        <w:tab/>
        <w:t>5.  The Agent would create an exclusive lock-box for each Transmission Owner and for RTO West and would collect proceeds and make payments on each Business Day.  Any difficulty or issue in making any particular payment to a Transmission Owner must not impede the Agent from making payments to the remaining Transmission Owners.  The Agent will make these distributions notwithstanding the pendency of a payment dispute between a customer and RTO West.</w:t>
      </w:r>
    </w:p>
    <w:p>
      <w:pPr>
        <w:pStyle w:val="Normal"/>
        <w:widowControl/>
        <w:rPr>
          <w:sz w:val="24"/>
        </w:rPr>
      </w:pPr>
      <w:r>
        <w:rPr>
          <w:sz w:val="24"/>
        </w:rPr>
      </w:r>
    </w:p>
    <w:p>
      <w:pPr>
        <w:pStyle w:val="Normal"/>
        <w:widowControl/>
        <w:rPr>
          <w:sz w:val="24"/>
        </w:rPr>
      </w:pPr>
      <w:r>
        <w:rPr>
          <w:sz w:val="24"/>
        </w:rPr>
        <w:tab/>
        <w:t>6.  The CPA Agreement will include an annual true-up mechanism to be employed in the event that the Agent has made mispayments that have not been rectified or if the parties concur that the payment percentages are mistaken.</w:t>
      </w:r>
    </w:p>
    <w:p>
      <w:pPr>
        <w:pStyle w:val="Normal"/>
        <w:widowControl/>
        <w:rPr>
          <w:sz w:val="24"/>
        </w:rPr>
      </w:pPr>
      <w:r>
        <w:rPr>
          <w:sz w:val="24"/>
        </w:rPr>
      </w:r>
    </w:p>
    <w:p>
      <w:pPr>
        <w:pStyle w:val="Normal"/>
        <w:widowControl/>
        <w:rPr>
          <w:sz w:val="24"/>
        </w:rPr>
      </w:pPr>
      <w:r>
        <w:rPr>
          <w:sz w:val="24"/>
        </w:rPr>
        <w:tab/>
        <w:t>7.  The CPA Agreement would include a Form of Letter to Agent whereby any Transmission Owner, in connection with the sale or transfer of its transmission assets, could notify the Agent that it is transferring ownership of its lock-box account to another party.  Such letter would be countersigned by an officer of RTO West.</w:t>
      </w:r>
    </w:p>
    <w:p>
      <w:pPr>
        <w:pStyle w:val="Normal"/>
        <w:widowControl/>
        <w:rPr>
          <w:sz w:val="24"/>
        </w:rPr>
      </w:pPr>
      <w:r>
        <w:rPr>
          <w:sz w:val="24"/>
        </w:rPr>
      </w:r>
    </w:p>
    <w:p>
      <w:pPr>
        <w:pStyle w:val="Normal"/>
        <w:widowControl/>
        <w:rPr>
          <w:sz w:val="24"/>
        </w:rPr>
      </w:pPr>
      <w:r>
        <w:rPr>
          <w:sz w:val="24"/>
        </w:rPr>
        <w:tab/>
        <w:t>8.  The CPA Agreement will include provisions that insulate the collection and payment structure from the bankruptcy or insolvency of any Transmission Owner, RTO West or the Agent.  The CPA Agreement would be clear that the revenues collected by the Agent are on behalf of each Transmission Owner and RTO West, in their individual capacities.</w:t>
      </w:r>
    </w:p>
    <w:p>
      <w:pPr>
        <w:pStyle w:val="Normal"/>
        <w:widowControl/>
        <w:rPr>
          <w:sz w:val="24"/>
        </w:rPr>
      </w:pPr>
      <w:r>
        <w:rPr>
          <w:sz w:val="24"/>
        </w:rPr>
      </w:r>
    </w:p>
    <w:p>
      <w:pPr>
        <w:sectPr>
          <w:footerReference w:type="default" r:id="rId2"/>
          <w:type w:val="nextPage"/>
          <w:pgSz w:w="12240" w:h="15840"/>
          <w:pgMar w:left="1440" w:right="1440" w:gutter="0" w:header="0" w:top="1440" w:footer="1920" w:bottom="1976"/>
          <w:pgNumType w:fmt="decimal"/>
          <w:formProt w:val="false"/>
          <w:textDirection w:val="lrTb"/>
          <w:docGrid w:type="default" w:linePitch="360" w:charSpace="0"/>
        </w:sectPr>
      </w:pPr>
    </w:p>
    <w:p>
      <w:pPr>
        <w:pStyle w:val="Normal"/>
        <w:widowControl/>
        <w:rPr>
          <w:sz w:val="24"/>
        </w:rPr>
      </w:pPr>
      <w:r>
        <w:rPr>
          <w:sz w:val="24"/>
        </w:rPr>
        <w:tab/>
        <w:t>9.  The CPA Agreement will obligate RTO West, as the entity responsible for preparing and delivering bills to transmission customers, to provide net billing credits against amounts that would otherwise flow from Net Billing Participants to BPA via the Agent.  These credits compensate the Net Billing Participants for payments they are obligated to make to Energy Northwest and the City of Eugene in respect of certain nuclear generating projects.  The credits would reduce the amount of cash flowing from Net Billing Participants through the Agent to BPA but would not affect the amount of cash flowing from Net Billing Participants through the Agent to RTO West or the non-BPA Transmission Owners.  BPA will notify RTO West when BPA’s net billing crediting obligation to the Participants in a year will be satisfied and at such point RTO will alter the remaining bills in the year so that the net billing credits cease and cash payments from the Net Billing Participant to the Agent for BPA’s portion of the transmission billings are reinstated.  The arrangement will also have to accommodate other provisions of the Net Billing Agreements that call for BPA to periodically adjust the payment obligation of a Net Billing Participant to the project owner and the amount of net billing credits a Net Billing Participant is entitled to receive.  The CPA Agreement could provide that BPA will provide RTO West, the Transmission Owners and RTO West with a detailed forecast of its net-billing methodology at the outset of each annual net-billing cycle.</w:t>
      </w:r>
    </w:p>
    <w:p>
      <w:pPr>
        <w:pStyle w:val="Normal"/>
        <w:widowControl/>
        <w:rPr>
          <w:sz w:val="24"/>
        </w:rPr>
      </w:pPr>
      <w:r>
        <w:rPr>
          <w:sz w:val="24"/>
        </w:rPr>
      </w:r>
    </w:p>
    <w:p>
      <w:pPr>
        <w:pStyle w:val="Normal"/>
        <w:widowControl/>
        <w:rPr>
          <w:sz w:val="24"/>
        </w:rPr>
      </w:pPr>
      <w:r>
        <w:rPr>
          <w:sz w:val="24"/>
        </w:rPr>
        <w:tab/>
        <w:t>10.  The CPA Agreement will include a provision that indemnifies the Agent from any third-party liability provided that it undertakes the actions required in the CPA Agreement.</w:t>
      </w:r>
    </w:p>
    <w:p>
      <w:pPr>
        <w:pStyle w:val="Normal"/>
        <w:widowControl/>
        <w:rPr>
          <w:sz w:val="24"/>
        </w:rPr>
      </w:pPr>
      <w:r>
        <w:rPr>
          <w:sz w:val="24"/>
        </w:rPr>
      </w:r>
    </w:p>
    <w:p>
      <w:pPr>
        <w:pStyle w:val="Normal"/>
        <w:widowControl/>
        <w:rPr>
          <w:sz w:val="24"/>
        </w:rPr>
      </w:pPr>
      <w:r>
        <w:rPr>
          <w:sz w:val="24"/>
        </w:rPr>
        <w:tab/>
        <w:t>11.  The TCA should include a provision that obligates the respective Transmission Owner to execute the CPA Agreement.</w:t>
      </w:r>
    </w:p>
    <w:p>
      <w:pPr>
        <w:pStyle w:val="Normal"/>
        <w:widowControl/>
        <w:rPr>
          <w:sz w:val="24"/>
        </w:rPr>
      </w:pPr>
      <w:r>
        <w:rPr>
          <w:sz w:val="24"/>
        </w:rPr>
      </w:r>
    </w:p>
    <w:p>
      <w:pPr>
        <w:pStyle w:val="Normal"/>
        <w:widowControl/>
        <w:rPr>
          <w:sz w:val="24"/>
        </w:rPr>
      </w:pPr>
      <w:r>
        <w:rPr>
          <w:sz w:val="24"/>
        </w:rPr>
        <w:tab/>
        <w:t>12.  Expenses of the Agent would be paid by each of the Transmission Owners and RTO West based upon their allocated percentage, with such expenses included in the respective revenue requirement.</w:t>
      </w:r>
    </w:p>
    <w:p>
      <w:pPr>
        <w:pStyle w:val="Normal"/>
        <w:widowControl/>
        <w:rPr>
          <w:sz w:val="24"/>
        </w:rPr>
      </w:pPr>
      <w:r>
        <w:rPr>
          <w:sz w:val="24"/>
        </w:rPr>
      </w:r>
    </w:p>
    <w:p>
      <w:pPr>
        <w:pStyle w:val="Normal"/>
        <w:widowControl/>
        <w:rPr>
          <w:sz w:val="24"/>
        </w:rPr>
      </w:pPr>
      <w:r>
        <w:rPr>
          <w:i/>
          <w:sz w:val="24"/>
        </w:rPr>
        <w:t>Miscellaneous:</w:t>
      </w:r>
    </w:p>
    <w:p>
      <w:pPr>
        <w:pStyle w:val="Normal"/>
        <w:widowControl/>
        <w:rPr>
          <w:sz w:val="24"/>
        </w:rPr>
      </w:pPr>
      <w:r>
        <w:rPr>
          <w:sz w:val="24"/>
        </w:rPr>
      </w:r>
    </w:p>
    <w:p>
      <w:pPr>
        <w:pStyle w:val="Normal"/>
        <w:widowControl/>
        <w:rPr>
          <w:sz w:val="24"/>
        </w:rPr>
      </w:pPr>
      <w:r>
        <w:rPr>
          <w:sz w:val="24"/>
        </w:rPr>
        <w:tab/>
        <w:t xml:space="preserve">1.  </w:t>
      </w:r>
      <w:r>
        <w:rPr>
          <w:sz w:val="24"/>
          <w:u w:val="single"/>
        </w:rPr>
        <w:t>Net-Billing (What is it?):</w:t>
      </w:r>
    </w:p>
    <w:p>
      <w:pPr>
        <w:pStyle w:val="Normal"/>
        <w:widowControl/>
        <w:rPr>
          <w:sz w:val="24"/>
        </w:rPr>
      </w:pPr>
      <w:r>
        <w:rPr>
          <w:sz w:val="24"/>
        </w:rPr>
      </w:r>
    </w:p>
    <w:p>
      <w:pPr>
        <w:pStyle w:val="Normal"/>
        <w:widowControl/>
        <w:rPr>
          <w:sz w:val="24"/>
        </w:rPr>
      </w:pPr>
      <w:r>
        <w:rPr>
          <w:sz w:val="24"/>
        </w:rPr>
        <w:tab/>
        <w:t>BPA acquired all or part of the project capability of several nuclear projects under “Net Billing Agreements,” under which BPA is obligated to ‘reimburse’ certain Net Billing Participants for cash payments they are obligated to make to the owners of the projects.  The Participants’ payment obligations to the project owners cover pro rata shares of the costs of the respective projects.  The reimbursement obligation of BPA to Participants is in the form of monetary “net billing credits” for power and transmission purchases by the Participants from BPA.  For instance, if a Net Billing Participant pays the project owner $80. the Participant is entitled to receive $80 in net billing credits against purchases of power and transmission services from BPA.  Once BPA provides enough net billing credits to a Participant to ‘reimburse’ a Participant for the cash it paid the project owner in a given year, the Participant recommences paying cash to BPA for power and transmission purchases.</w:t>
      </w:r>
    </w:p>
    <w:p>
      <w:pPr>
        <w:pStyle w:val="Normal"/>
        <w:widowControl/>
        <w:rPr>
          <w:sz w:val="24"/>
        </w:rPr>
      </w:pPr>
      <w:r>
        <w:rPr>
          <w:sz w:val="24"/>
        </w:rPr>
      </w:r>
    </w:p>
    <w:p>
      <w:pPr>
        <w:pStyle w:val="Normal"/>
        <w:widowControl/>
        <w:rPr/>
      </w:pPr>
      <w:r>
        <w:rPr>
          <w:sz w:val="24"/>
        </w:rPr>
        <w:tab/>
        <w:t xml:space="preserve">2.  </w:t>
      </w:r>
      <w:r>
        <w:rPr>
          <w:sz w:val="24"/>
          <w:u w:val="single"/>
        </w:rPr>
        <w:t>Transmission Owner Definition:</w:t>
      </w:r>
      <w:r>
        <w:rPr>
          <w:sz w:val="24"/>
        </w:rPr>
        <w:t xml:space="preserve"> The definition of Transmission Owner would track the definition that is agreed in the RTO West Bylaws.  As currently contemplated, it is any investor-owned utility, independent transmission company, municipality, municipal utility, public utility district, people's utility district, cooperative corporation, joint powers agency, federal power marketing administration, irrigation district or other entity furnishing electric services, or a joint powers authority that includes one or more of its own or its members' electric distribution system, that has transferred operational control of its transmission facilities to RTO West pursuant to a TCA.</w:t>
      </w:r>
    </w:p>
    <w:p>
      <w:pPr>
        <w:pStyle w:val="Normal"/>
        <w:widowControl/>
        <w:rPr>
          <w:sz w:val="24"/>
        </w:rPr>
      </w:pPr>
      <w:r>
        <w:rPr>
          <w:sz w:val="24"/>
        </w:rPr>
      </w:r>
    </w:p>
    <w:p>
      <w:pPr>
        <w:pStyle w:val="Normal"/>
        <w:widowControl/>
        <w:rPr/>
      </w:pPr>
      <w:r>
        <w:rPr>
          <w:sz w:val="24"/>
        </w:rPr>
        <w:tab/>
        <w:t xml:space="preserve">3.  </w:t>
      </w:r>
      <w:r>
        <w:rPr>
          <w:sz w:val="24"/>
          <w:u w:val="single"/>
        </w:rPr>
        <w:t>Governing Law of CPA Agreement</w:t>
      </w:r>
      <w:r>
        <w:rPr>
          <w:sz w:val="24"/>
        </w:rPr>
        <w:t xml:space="preserve"> :  Federal Law, construed in accordance with Washington law.</w:t>
      </w:r>
    </w:p>
    <w:p>
      <w:pPr>
        <w:pStyle w:val="Normal"/>
        <w:widowControl/>
        <w:rPr>
          <w:sz w:val="24"/>
        </w:rPr>
      </w:pPr>
      <w:r>
        <w:rPr>
          <w:sz w:val="24"/>
        </w:rPr>
      </w:r>
    </w:p>
    <w:p>
      <w:pPr>
        <w:pStyle w:val="Normal"/>
        <w:widowControl/>
        <w:rPr/>
      </w:pPr>
      <w:r>
        <w:rPr>
          <w:sz w:val="24"/>
        </w:rPr>
        <w:tab/>
        <w:t xml:space="preserve">4.  </w:t>
      </w:r>
      <w:r>
        <w:rPr>
          <w:sz w:val="24"/>
          <w:u w:val="single"/>
        </w:rPr>
        <w:t>Term</w:t>
      </w:r>
      <w:r>
        <w:rPr>
          <w:sz w:val="24"/>
        </w:rPr>
        <w:t>:  [To match TCA's]</w:t>
      </w:r>
    </w:p>
    <w:p>
      <w:pPr>
        <w:pStyle w:val="Normal"/>
        <w:widowControl/>
        <w:rPr>
          <w:sz w:val="24"/>
        </w:rPr>
      </w:pPr>
      <w:r>
        <w:rPr>
          <w:sz w:val="24"/>
        </w:rPr>
      </w:r>
    </w:p>
    <w:p>
      <w:pPr>
        <w:pStyle w:val="Normal"/>
        <w:widowControl/>
        <w:rPr/>
      </w:pPr>
      <w:r>
        <w:rPr>
          <w:sz w:val="24"/>
        </w:rPr>
        <w:tab/>
        <w:t xml:space="preserve">5.  </w:t>
      </w:r>
      <w:r>
        <w:rPr>
          <w:sz w:val="24"/>
          <w:u w:val="single"/>
        </w:rPr>
        <w:t>Termination</w:t>
      </w:r>
      <w:r>
        <w:rPr>
          <w:sz w:val="24"/>
        </w:rPr>
        <w:t>:  By either RTO West or the Agent on ninety days’ notice.  RTO West and the Transmission Owners would agree at the outset that the terms of the CPA Agreement would be imported into any subsequent Collection and Payment Agent Agreement.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Please call Sanjiv Kripalani (Stoel Rives/PacifiCorp) at (503) 294-9193 or Robb Roberts (BPA) at (503)  230-4201 with any questions or comments on the CPA Agreement.</w:t>
      </w:r>
    </w:p>
    <w:sectPr>
      <w:type w:val="continuous"/>
      <w:pgSz w:w="12240" w:h="15840"/>
      <w:pgMar w:left="1440" w:right="1440" w:gutter="0" w:header="0" w:top="1440" w:footer="1920" w:bottom="19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4"/>
      </w:rPr>
    </w:pPr>
    <w:r>
      <w:rPr>
        <w:sz w:val="14"/>
      </w:rPr>
      <w:t>Portlnd2-4260815</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ind w:hanging="720" w:start="720" w:end="0"/>
      <w:jc w:val="both"/>
    </w:pPr>
    <w:rPr>
      <w:rFonts w:ascii="CG Times" w:hAnsi="CG Times" w:eastAsia="Times New Roman" w:cs="CG Times"/>
      <w:color w:val="auto"/>
      <w:sz w:val="24"/>
      <w:szCs w:val="20"/>
      <w:lang w:val="en-US" w:eastAsia="zh-CN" w:bidi="hi-IN"/>
    </w:rPr>
  </w:style>
  <w:style w:type="paragraph" w:styleId="2AutoList1">
    <w:name w:val="2AutoList1"/>
    <w:qFormat/>
    <w:pPr>
      <w:widowControl w:val="false"/>
      <w:bidi w:val="0"/>
      <w:ind w:hanging="0" w:start="-1440" w:end="0"/>
      <w:jc w:val="both"/>
    </w:pPr>
    <w:rPr>
      <w:rFonts w:ascii="CG Times" w:hAnsi="CG Times" w:eastAsia="Times New Roman" w:cs="CG Times"/>
      <w:color w:val="auto"/>
      <w:sz w:val="24"/>
      <w:szCs w:val="20"/>
      <w:lang w:val="en-US" w:eastAsia="zh-CN" w:bidi="hi-IN"/>
    </w:rPr>
  </w:style>
  <w:style w:type="paragraph" w:styleId="3AutoList1">
    <w:name w:val="3AutoList1"/>
    <w:qFormat/>
    <w:pPr>
      <w:widowControl w:val="false"/>
      <w:bidi w:val="0"/>
      <w:ind w:hanging="0" w:start="-1440" w:end="0"/>
      <w:jc w:val="both"/>
    </w:pPr>
    <w:rPr>
      <w:rFonts w:ascii="CG Times" w:hAnsi="CG Times" w:eastAsia="Times New Roman" w:cs="CG Times"/>
      <w:color w:val="auto"/>
      <w:sz w:val="24"/>
      <w:szCs w:val="20"/>
      <w:lang w:val="en-US" w:eastAsia="zh-CN" w:bidi="hi-IN"/>
    </w:rPr>
  </w:style>
  <w:style w:type="paragraph" w:styleId="4AutoList1">
    <w:name w:val="4AutoList1"/>
    <w:qFormat/>
    <w:pPr>
      <w:widowControl w:val="false"/>
      <w:bidi w:val="0"/>
      <w:ind w:hanging="0" w:start="-1440" w:end="0"/>
      <w:jc w:val="both"/>
    </w:pPr>
    <w:rPr>
      <w:rFonts w:ascii="CG Times" w:hAnsi="CG Times" w:eastAsia="Times New Roman" w:cs="CG Times"/>
      <w:color w:val="auto"/>
      <w:sz w:val="24"/>
      <w:szCs w:val="20"/>
      <w:lang w:val="en-US" w:eastAsia="zh-CN" w:bidi="hi-IN"/>
    </w:rPr>
  </w:style>
  <w:style w:type="paragraph" w:styleId="5AutoList1">
    <w:name w:val="5AutoList1"/>
    <w:qFormat/>
    <w:pPr>
      <w:widowControl w:val="false"/>
      <w:bidi w:val="0"/>
      <w:ind w:hanging="0" w:start="-1440" w:end="0"/>
      <w:jc w:val="both"/>
    </w:pPr>
    <w:rPr>
      <w:rFonts w:ascii="CG Times" w:hAnsi="CG Times" w:eastAsia="Times New Roman" w:cs="CG Times"/>
      <w:color w:val="auto"/>
      <w:sz w:val="24"/>
      <w:szCs w:val="20"/>
      <w:lang w:val="en-US" w:eastAsia="zh-CN" w:bidi="hi-IN"/>
    </w:rPr>
  </w:style>
  <w:style w:type="paragraph" w:styleId="6AutoList1">
    <w:name w:val="6AutoList1"/>
    <w:qFormat/>
    <w:pPr>
      <w:widowControl w:val="false"/>
      <w:bidi w:val="0"/>
      <w:ind w:hanging="0" w:start="-1440" w:end="0"/>
      <w:jc w:val="both"/>
    </w:pPr>
    <w:rPr>
      <w:rFonts w:ascii="CG Times" w:hAnsi="CG Times" w:eastAsia="Times New Roman" w:cs="CG Times"/>
      <w:color w:val="auto"/>
      <w:sz w:val="24"/>
      <w:szCs w:val="20"/>
      <w:lang w:val="en-US" w:eastAsia="zh-CN" w:bidi="hi-IN"/>
    </w:rPr>
  </w:style>
  <w:style w:type="paragraph" w:styleId="7AutoList1">
    <w:name w:val="7AutoList1"/>
    <w:qFormat/>
    <w:pPr>
      <w:widowControl w:val="false"/>
      <w:bidi w:val="0"/>
      <w:ind w:hanging="0" w:start="-1440" w:end="0"/>
      <w:jc w:val="both"/>
    </w:pPr>
    <w:rPr>
      <w:rFonts w:ascii="CG Times" w:hAnsi="CG Times" w:eastAsia="Times New Roman" w:cs="CG Times"/>
      <w:color w:val="auto"/>
      <w:sz w:val="24"/>
      <w:szCs w:val="20"/>
      <w:lang w:val="en-US" w:eastAsia="zh-CN" w:bidi="hi-IN"/>
    </w:rPr>
  </w:style>
  <w:style w:type="paragraph" w:styleId="8AutoList1">
    <w:name w:val="8AutoList1"/>
    <w:qFormat/>
    <w:pPr>
      <w:widowControl w:val="false"/>
      <w:bidi w:val="0"/>
      <w:ind w:hanging="0" w:start="-1440" w:end="0"/>
      <w:jc w:val="both"/>
    </w:pPr>
    <w:rPr>
      <w:rFonts w:ascii="CG Times" w:hAnsi="CG Times" w:eastAsia="Times New Roman" w:cs="CG Times"/>
      <w:color w:val="auto"/>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2000-06-23T15:19:00Z</dcterms:created>
  <dc:creator>Robb Roberts</dc:creator>
  <dc:description/>
  <dc:language>en-CA</dc:language>
  <cp:lastModifiedBy>Robb Roberts</cp:lastModifiedBy>
  <cp:lastPrinted>2000-06-22T10:23:00Z</cp:lastPrinted>
  <dcterms:modified xsi:type="dcterms:W3CDTF">2000-06-23T15:19:00Z</dcterms:modified>
  <cp:revision>2</cp:revision>
  <dc:subject/>
  <dc:title>DRAFT</dc:title>
</cp:coreProperties>
</file>