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Book Antiqua" w:hAnsi="Book Antiqua" w:cs="Book Antiqua"/>
        </w:rPr>
      </w:pPr>
      <w:r>
        <w:rPr>
          <w:rFonts w:cs="Book Antiqua" w:ascii="Book Antiqua" w:hAnsi="Book Antiqua"/>
        </w:rPr>
        <w:t>Memorandum to:</w:t>
        <w:tab/>
        <w:t>Paul Kaufman</w:t>
      </w:r>
    </w:p>
    <w:p>
      <w:pPr>
        <w:pStyle w:val="Normal"/>
        <w:jc w:val="both"/>
        <w:rPr>
          <w:rFonts w:ascii="Book Antiqua" w:hAnsi="Book Antiqua" w:cs="Book Antiqua"/>
        </w:rPr>
      </w:pPr>
      <w:r>
        <w:rPr>
          <w:rFonts w:cs="Book Antiqua" w:ascii="Book Antiqua" w:hAnsi="Book Antiqua"/>
        </w:rPr>
      </w:r>
    </w:p>
    <w:p>
      <w:pPr>
        <w:pStyle w:val="Normal"/>
        <w:jc w:val="both"/>
        <w:rPr>
          <w:rFonts w:ascii="Book Antiqua" w:hAnsi="Book Antiqua" w:cs="Book Antiqua"/>
        </w:rPr>
      </w:pPr>
      <w:r>
        <w:rPr>
          <w:rFonts w:cs="Book Antiqua" w:ascii="Book Antiqua" w:hAnsi="Book Antiqua"/>
        </w:rPr>
        <w:t>From:</w:t>
        <w:tab/>
        <w:tab/>
        <w:t>Leslie Lawner</w:t>
      </w:r>
    </w:p>
    <w:p>
      <w:pPr>
        <w:pStyle w:val="Normal"/>
        <w:jc w:val="both"/>
        <w:rPr>
          <w:rFonts w:ascii="Book Antiqua" w:hAnsi="Book Antiqua" w:cs="Book Antiqua"/>
        </w:rPr>
      </w:pPr>
      <w:r>
        <w:rPr>
          <w:rFonts w:cs="Book Antiqua" w:ascii="Book Antiqua" w:hAnsi="Book Antiqua"/>
        </w:rPr>
      </w:r>
    </w:p>
    <w:p>
      <w:pPr>
        <w:pStyle w:val="Normal"/>
        <w:ind w:hanging="1440" w:start="1440" w:end="0"/>
        <w:jc w:val="both"/>
        <w:rPr>
          <w:rFonts w:ascii="Book Antiqua" w:hAnsi="Book Antiqua" w:cs="Book Antiqua"/>
        </w:rPr>
      </w:pPr>
      <w:r>
        <w:rPr>
          <w:rFonts w:cs="Book Antiqua" w:ascii="Book Antiqua" w:hAnsi="Book Antiqua"/>
        </w:rPr>
        <w:t>Subject:</w:t>
        <w:tab/>
        <w:t>Analysis of Enron Corp. partial ownership of holding company under FERC Gas Rules</w:t>
      </w:r>
    </w:p>
    <w:p>
      <w:pPr>
        <w:pStyle w:val="Normal"/>
        <w:jc w:val="both"/>
        <w:rPr>
          <w:rFonts w:ascii="Book Antiqua" w:hAnsi="Book Antiqua" w:cs="Book Antiqua"/>
        </w:rPr>
      </w:pPr>
      <w:r>
        <w:rPr>
          <w:rFonts w:cs="Book Antiqua" w:ascii="Book Antiqua" w:hAnsi="Book Antiqua"/>
        </w:rPr>
      </w:r>
    </w:p>
    <w:p>
      <w:pPr>
        <w:pStyle w:val="Normal"/>
        <w:jc w:val="both"/>
        <w:rPr>
          <w:rFonts w:ascii="Book Antiqua" w:hAnsi="Book Antiqua" w:cs="Book Antiqua"/>
        </w:rPr>
      </w:pPr>
      <w:r>
        <w:rPr>
          <w:rFonts w:cs="Book Antiqua" w:ascii="Book Antiqua" w:hAnsi="Book Antiqua"/>
        </w:rPr>
        <w:t>Date:</w:t>
        <w:tab/>
        <w:tab/>
        <w:t>August 7, 2001</w:t>
      </w:r>
    </w:p>
    <w:p>
      <w:pPr>
        <w:pStyle w:val="Normal"/>
        <w:jc w:val="both"/>
        <w:rPr>
          <w:rFonts w:ascii="Book Antiqua" w:hAnsi="Book Antiqua" w:cs="Book Antiqua"/>
        </w:rPr>
      </w:pPr>
      <w:r>
        <w:rPr>
          <w:rFonts w:cs="Book Antiqua" w:ascii="Book Antiqua" w:hAnsi="Book Antiqua"/>
        </w:rPr>
      </w:r>
    </w:p>
    <w:p>
      <w:pPr>
        <w:pStyle w:val="Normal"/>
        <w:jc w:val="both"/>
        <w:rPr>
          <w:rFonts w:ascii="Book Antiqua" w:hAnsi="Book Antiqua" w:cs="Book Antiqua"/>
        </w:rPr>
      </w:pPr>
      <w:r>
        <w:rPr>
          <w:rFonts w:cs="Book Antiqua" w:ascii="Book Antiqua" w:hAnsi="Book Antiqua"/>
        </w:rPr>
        <w:t>In this memo I will examine certain legal and regulatory consequences to Enron if it held part ownership in a holding company that in turn owned both an electric utility and a local gas distribution company.  There are several aspects to this:  (i) the impact of the FERC gas marketing affiliate rule, and potential changes to that rule, on Enron; (ii) the ability of Enron trading and origination groups to sell gas to (or even buy gas from) the LDC; and (iii) the potential imposition of conditions on affiliate transactions in the FERC merger order.  As explained below, perhaps the most severe outcome would be the imposition of conditions on the companies involved in the merger as part of the approval of the merger.  Such merger-specific conditions could prove to be very onerous to us, and, as they would not be imposed generically, a source of competitive disadvantage.</w:t>
      </w:r>
    </w:p>
    <w:p>
      <w:pPr>
        <w:pStyle w:val="Normal"/>
        <w:jc w:val="both"/>
        <w:rPr>
          <w:rFonts w:ascii="Book Antiqua" w:hAnsi="Book Antiqua" w:cs="Book Antiqua"/>
        </w:rPr>
      </w:pPr>
      <w:r>
        <w:rPr>
          <w:rFonts w:cs="Book Antiqua" w:ascii="Book Antiqua" w:hAnsi="Book Antiqua"/>
        </w:rPr>
      </w:r>
    </w:p>
    <w:p>
      <w:pPr>
        <w:pStyle w:val="Normal"/>
        <w:numPr>
          <w:ilvl w:val="0"/>
          <w:numId w:val="2"/>
        </w:numPr>
        <w:jc w:val="both"/>
        <w:rPr>
          <w:rFonts w:ascii="Book Antiqua" w:hAnsi="Book Antiqua" w:cs="Book Antiqua"/>
          <w:i/>
          <w:i/>
          <w:iCs/>
        </w:rPr>
      </w:pPr>
      <w:r>
        <w:rPr>
          <w:rFonts w:cs="Book Antiqua" w:ascii="Book Antiqua" w:hAnsi="Book Antiqua"/>
          <w:i/>
          <w:iCs/>
        </w:rPr>
        <w:t>The FERC Gas Marketing Affiliate Rule</w:t>
      </w:r>
    </w:p>
    <w:p>
      <w:pPr>
        <w:pStyle w:val="Normal"/>
        <w:jc w:val="both"/>
        <w:rPr>
          <w:rFonts w:ascii="Book Antiqua" w:hAnsi="Book Antiqua" w:cs="Book Antiqua"/>
          <w:i/>
          <w:i/>
          <w:iCs/>
        </w:rPr>
      </w:pPr>
      <w:r>
        <w:rPr>
          <w:rFonts w:cs="Book Antiqua" w:ascii="Book Antiqua" w:hAnsi="Book Antiqua"/>
          <w:i/>
          <w:iCs/>
        </w:rPr>
      </w:r>
    </w:p>
    <w:p>
      <w:pPr>
        <w:pStyle w:val="Normal"/>
        <w:ind w:firstLine="360" w:end="0"/>
        <w:jc w:val="both"/>
        <w:rPr>
          <w:rFonts w:ascii="Verdana" w:hAnsi="Verdana" w:cs="Verdana"/>
          <w:sz w:val="20"/>
          <w:szCs w:val="20"/>
        </w:rPr>
      </w:pPr>
      <w:r>
        <w:rPr>
          <w:rFonts w:cs="Book Antiqua" w:ascii="Book Antiqua" w:hAnsi="Book Antiqua"/>
        </w:rPr>
        <w:t xml:space="preserve">The FERC gas marketing affiliate rule regulates transactions between interstate pipelines and their marketing affiliates.  The FERC regulation currently defines a marketing affiliate as an affiliated natural gas marketing or brokering entity, which conducts transportation transactions with the pipeline.  </w:t>
      </w:r>
      <w:r>
        <w:rPr>
          <w:rFonts w:cs="Book Antiqua" w:ascii="Book Antiqua" w:hAnsi="Book Antiqua"/>
          <w:szCs w:val="20"/>
        </w:rPr>
        <w:t>Affiliate of a pipeline is defined as another person which controls, is controlled by, or is under common control with, the pipeline.  Control (including the terms "controlling," "controlled by," and "under common control with") includes, but is not limited to, the possession, directly or indirectly and whether acting alone or in conjunction with others, of the authority to direct or cause the direction of the management or policies of a company.  A voting interest of 10 percent or more creates a rebuttable presumption of control</w:t>
      </w:r>
      <w:r>
        <w:rPr>
          <w:rFonts w:cs="Verdana" w:ascii="Verdana" w:hAnsi="Verdana"/>
          <w:sz w:val="20"/>
          <w:szCs w:val="20"/>
        </w:rPr>
        <w:t xml:space="preserve">.  </w:t>
      </w:r>
      <w:r>
        <w:rPr>
          <w:rFonts w:cs="Book Antiqua" w:ascii="Book Antiqua" w:hAnsi="Book Antiqua"/>
          <w:szCs w:val="20"/>
        </w:rPr>
        <w:t>I assume for the purposes of this memo that Enron’s interest in the holding company would meet this threshold or otherwise be deemed to meet the “control” test.</w:t>
      </w:r>
    </w:p>
    <w:p>
      <w:pPr>
        <w:pStyle w:val="Normal"/>
        <w:ind w:firstLine="360" w:end="0"/>
        <w:jc w:val="both"/>
        <w:rPr>
          <w:rFonts w:ascii="Verdana" w:hAnsi="Verdana" w:cs="Verdana"/>
          <w:sz w:val="20"/>
          <w:szCs w:val="20"/>
        </w:rPr>
      </w:pPr>
      <w:r>
        <w:rPr>
          <w:rFonts w:cs="Verdana" w:ascii="Verdana" w:hAnsi="Verdana"/>
          <w:sz w:val="20"/>
          <w:szCs w:val="20"/>
        </w:rPr>
      </w:r>
    </w:p>
    <w:p>
      <w:pPr>
        <w:pStyle w:val="BodyTextIndent"/>
        <w:rPr/>
      </w:pPr>
      <w:r>
        <w:rPr/>
        <w:t xml:space="preserve">In the current open docket, PL00-1, the FERC is considering expanding the definition of marketing affiliate.  The Proposed Rule is expected out this fall, and it is likely that the rule will expand the definition of companies covered by the marketing affiliate rule to include any affiliate of a pipeline which conducts transportation transactions with that pipeline (to cover the electric generation affiliates who are not presently covered by the marketing affiliate rule since they consume, and not resell, the gas).  It is also possible that the rule could be expanded to include all affiliated companies.  </w:t>
      </w:r>
    </w:p>
    <w:p>
      <w:pPr>
        <w:pStyle w:val="Normal"/>
        <w:ind w:firstLine="360" w:end="0"/>
        <w:jc w:val="both"/>
        <w:rPr>
          <w:rFonts w:ascii="Book Antiqua" w:hAnsi="Book Antiqua" w:cs="Book Antiqua"/>
        </w:rPr>
      </w:pPr>
      <w:r>
        <w:rPr>
          <w:rFonts w:cs="Book Antiqua" w:ascii="Book Antiqua" w:hAnsi="Book Antiqua"/>
        </w:rPr>
      </w:r>
    </w:p>
    <w:p>
      <w:pPr>
        <w:pStyle w:val="BodyTextIndent3"/>
        <w:ind w:firstLine="360" w:start="0" w:end="0"/>
        <w:rPr/>
      </w:pPr>
      <w:r>
        <w:rPr/>
        <w:t xml:space="preserve">The Standards of Conduct and Reporting Requirements govern the relationship between pipelines and their marketing affiliates, providing generally that they must operate independently of one another, that the pipelines cannot favor their marketing affiliate over other parties in providing transportation services or transportation information or discounts.   See Appendix for a more detailed description of the marketing rule requirements. </w:t>
      </w:r>
    </w:p>
    <w:p>
      <w:pPr>
        <w:pStyle w:val="Normal"/>
        <w:ind w:firstLine="360" w:end="0"/>
        <w:jc w:val="both"/>
        <w:rPr>
          <w:rFonts w:ascii="Book Antiqua" w:hAnsi="Book Antiqua" w:cs="Book Antiqua"/>
        </w:rPr>
      </w:pPr>
      <w:r>
        <w:rPr>
          <w:rFonts w:cs="Book Antiqua" w:ascii="Book Antiqua" w:hAnsi="Book Antiqua"/>
        </w:rPr>
      </w:r>
    </w:p>
    <w:p>
      <w:pPr>
        <w:pStyle w:val="Normal"/>
        <w:ind w:firstLine="360" w:end="0"/>
        <w:jc w:val="both"/>
        <w:rPr>
          <w:rFonts w:ascii="Book Antiqua" w:hAnsi="Book Antiqua" w:cs="Book Antiqua"/>
        </w:rPr>
      </w:pPr>
      <w:r>
        <w:rPr>
          <w:rFonts w:cs="Book Antiqua" w:ascii="Book Antiqua" w:hAnsi="Book Antiqua"/>
        </w:rPr>
        <w:t>The subject LDC does not appear to use any of the Enron interstate pipelines currently and given the location of the subject LDC, it is unlikely that it will acquire transportation on any Enron interstate pipelines.  Thus most of the provisions of the marketing affiliate rule as currently written would not be applicable to the LDC as it would not be deemed a marketing affiliate.  If the rule is changed to expand the definition of marketing affiliate, then these provisions may apply to the LDC, but as long as the LDC is not shipping any gas on the affiliated pipelines, most of the consequences of the rule would not be significant.  (I assume the fact that Enron would not be the majority owner of the holding company that sharing of personnel, separate recordkeeping and separation of facilities would not be an issue.)  There may be additional requirements imposed in the ongoing rulemaking proceeding, but they would not likely affect the LDC/Enron pipeline relationship absent the LDC shipping gas on those pipelines.</w:t>
      </w:r>
    </w:p>
    <w:p>
      <w:pPr>
        <w:pStyle w:val="Normal"/>
        <w:ind w:start="360" w:end="0"/>
        <w:jc w:val="both"/>
        <w:rPr>
          <w:rFonts w:ascii="Book Antiqua" w:hAnsi="Book Antiqua" w:cs="Book Antiqua"/>
        </w:rPr>
      </w:pPr>
      <w:r>
        <w:rPr>
          <w:rFonts w:cs="Book Antiqua" w:ascii="Book Antiqua" w:hAnsi="Book Antiqua"/>
        </w:rPr>
      </w:r>
    </w:p>
    <w:p>
      <w:pPr>
        <w:pStyle w:val="Normal"/>
        <w:numPr>
          <w:ilvl w:val="0"/>
          <w:numId w:val="2"/>
        </w:numPr>
        <w:jc w:val="both"/>
        <w:rPr>
          <w:rFonts w:ascii="Book Antiqua" w:hAnsi="Book Antiqua" w:cs="Book Antiqua"/>
        </w:rPr>
      </w:pPr>
      <w:r>
        <w:rPr>
          <w:rFonts w:cs="Book Antiqua" w:ascii="Book Antiqua" w:hAnsi="Book Antiqua"/>
          <w:i/>
          <w:iCs/>
        </w:rPr>
        <w:t>Transactions between Enron marketing/trading companies and the LDC</w:t>
      </w:r>
      <w:r>
        <w:rPr>
          <w:rFonts w:cs="Book Antiqua" w:ascii="Book Antiqua" w:hAnsi="Book Antiqua"/>
        </w:rPr>
        <w:t>.</w:t>
      </w:r>
    </w:p>
    <w:p>
      <w:pPr>
        <w:pStyle w:val="Normal"/>
        <w:jc w:val="both"/>
        <w:rPr>
          <w:rFonts w:ascii="Book Antiqua" w:hAnsi="Book Antiqua" w:cs="Book Antiqua"/>
        </w:rPr>
      </w:pPr>
      <w:r>
        <w:rPr>
          <w:rFonts w:cs="Book Antiqua" w:ascii="Book Antiqua" w:hAnsi="Book Antiqua"/>
        </w:rPr>
      </w:r>
    </w:p>
    <w:p>
      <w:pPr>
        <w:pStyle w:val="Normal"/>
        <w:jc w:val="both"/>
        <w:rPr>
          <w:rFonts w:ascii="Book Antiqua" w:hAnsi="Book Antiqua" w:cs="Book Antiqua"/>
        </w:rPr>
      </w:pPr>
      <w:r>
        <w:rPr>
          <w:rFonts w:cs="Book Antiqua" w:ascii="Book Antiqua" w:hAnsi="Book Antiqua"/>
        </w:rPr>
        <w:t xml:space="preserve">The Natural Gas Policy Act and the Natural Gas Decontrol Act deregulated “first sales” of natural gas, which are essentially all sales of natural gas to any person, by any person, as long as the seller is not an interstate pipeline, intrastate pipeline, local distribution company, or any affiliate thereof.  Because our gas marketing entities (ENA, EES) are affiliates of interstate pipelines, their sales for resale in interstate commerce are not deemed to be “first sales” and are not removed from Natural Gas Act jurisdiction.  However, the FERC has traditionally treated these sales as if they were fully deregulated.  When the affiliated interstate pipelines were found by the FERC to be in compliance with Order No. 636, the marketing affiliates were given blanket sales certificates, under FERC Order No. 547.  The certificates allowed sales at negotiated rates, had no term limitation nor any reporting requirements attached.  </w:t>
      </w:r>
    </w:p>
    <w:p>
      <w:pPr>
        <w:pStyle w:val="Normal"/>
        <w:jc w:val="both"/>
        <w:rPr>
          <w:rFonts w:ascii="Book Antiqua" w:hAnsi="Book Antiqua" w:cs="Book Antiqua"/>
        </w:rPr>
      </w:pPr>
      <w:r>
        <w:rPr>
          <w:rFonts w:cs="Book Antiqua" w:ascii="Book Antiqua" w:hAnsi="Book Antiqua"/>
        </w:rPr>
      </w:r>
    </w:p>
    <w:p>
      <w:pPr>
        <w:pStyle w:val="Normal"/>
        <w:jc w:val="both"/>
        <w:rPr>
          <w:rFonts w:ascii="Book Antiqua" w:hAnsi="Book Antiqua" w:cs="Book Antiqua"/>
        </w:rPr>
      </w:pPr>
      <w:r>
        <w:rPr>
          <w:rFonts w:cs="Book Antiqua" w:ascii="Book Antiqua" w:hAnsi="Book Antiqua"/>
        </w:rPr>
        <w:t xml:space="preserve">Under the existing regulations, there is no restriction or regulation by the FERC on sales of gas or of gas derivative products between Enron marketing entities and affiliated LDCs.  Of course, there is state regulation over the LDC’s purchased gas costs, and those transactions would likely receive scrutiny at the state level.  That being said, however, the FERC has an open rulemaking proceeding which is scrutinizing the existing marketing affiliate rules and FERC is also dealing with the fallout from the California situation, including the extremely high price spikes at the California border last winter, in several other dockets.  Since much of that situation is being blamed on El Paso Natural Gas and its merchant affiliate, heightened review of the marketing affiliate rules and marketing affiliate sales is underway.  We do expect some tightening of the gas marketing affiliate rules by the FERC in the near future.  New reporting requirements for gas transactions into California markets have recently been adopted by the FERC (Docket No. RM01-9) ostensibly to enable FERC to monitor that situation more closely.  </w:t>
      </w:r>
    </w:p>
    <w:p>
      <w:pPr>
        <w:pStyle w:val="Normal"/>
        <w:jc w:val="both"/>
        <w:rPr>
          <w:rFonts w:ascii="Book Antiqua" w:hAnsi="Book Antiqua" w:cs="Book Antiqua"/>
        </w:rPr>
      </w:pPr>
      <w:r>
        <w:rPr>
          <w:rFonts w:cs="Book Antiqua" w:ascii="Book Antiqua" w:hAnsi="Book Antiqua"/>
        </w:rPr>
      </w:r>
    </w:p>
    <w:p>
      <w:pPr>
        <w:pStyle w:val="Normal"/>
        <w:jc w:val="both"/>
        <w:rPr/>
      </w:pPr>
      <w:r>
        <w:rPr>
          <w:rFonts w:cs="Book Antiqua" w:ascii="Book Antiqua" w:hAnsi="Book Antiqua"/>
        </w:rPr>
        <w:t>Most significantly, several petitions have been filed with the FERC seeking to reimpose price regulation on affiliated sellers of natural gas in reaction to the price fly-ups in California.</w:t>
      </w:r>
      <w:r>
        <w:rPr>
          <w:rStyle w:val="FootnoteCharacters"/>
          <w:rStyle w:val="FootnoteReference"/>
          <w:rFonts w:cs="Book Antiqua" w:ascii="Book Antiqua" w:hAnsi="Book Antiqua"/>
        </w:rPr>
        <w:footnoteReference w:id="2"/>
      </w:r>
      <w:r>
        <w:rPr>
          <w:rFonts w:cs="Book Antiqua" w:ascii="Book Antiqua" w:hAnsi="Book Antiqua"/>
        </w:rPr>
        <w:t xml:space="preserve">  While FERC re-regulation of prices charged by marketing affiliates in the interstate wholesale market does not seem to be imminent, it is a possibility that must be considered, although it is not tied to the merger.  As I discuss in the next section, it is also possible that price controls on marketing affiliate sales (perhaps only in markets affected by the merger) could be a condition on the merger approval if the FERC finds such action necessary or desirable.</w:t>
      </w:r>
    </w:p>
    <w:p>
      <w:pPr>
        <w:pStyle w:val="Normal"/>
        <w:jc w:val="both"/>
        <w:rPr>
          <w:rFonts w:ascii="Book Antiqua" w:hAnsi="Book Antiqua" w:cs="Book Antiqua"/>
        </w:rPr>
      </w:pPr>
      <w:r>
        <w:rPr>
          <w:rFonts w:cs="Book Antiqua" w:ascii="Book Antiqua" w:hAnsi="Book Antiqua"/>
        </w:rPr>
      </w:r>
    </w:p>
    <w:p>
      <w:pPr>
        <w:pStyle w:val="Normal"/>
        <w:numPr>
          <w:ilvl w:val="0"/>
          <w:numId w:val="2"/>
        </w:numPr>
        <w:jc w:val="both"/>
        <w:rPr>
          <w:rFonts w:ascii="Book Antiqua" w:hAnsi="Book Antiqua" w:cs="Book Antiqua"/>
          <w:i/>
          <w:i/>
          <w:iCs/>
        </w:rPr>
      </w:pPr>
      <w:r>
        <w:rPr>
          <w:rFonts w:cs="Book Antiqua" w:ascii="Book Antiqua" w:hAnsi="Book Antiqua"/>
          <w:i/>
          <w:iCs/>
        </w:rPr>
        <w:t>Imposition of Conditions on the Merger</w:t>
      </w:r>
    </w:p>
    <w:p>
      <w:pPr>
        <w:pStyle w:val="Normal"/>
        <w:jc w:val="both"/>
        <w:rPr>
          <w:rFonts w:ascii="Book Antiqua" w:hAnsi="Book Antiqua" w:cs="Book Antiqua"/>
          <w:i/>
          <w:i/>
          <w:iCs/>
        </w:rPr>
      </w:pPr>
      <w:r>
        <w:rPr>
          <w:rFonts w:cs="Book Antiqua" w:ascii="Book Antiqua" w:hAnsi="Book Antiqua"/>
          <w:i/>
          <w:iCs/>
        </w:rPr>
      </w:r>
    </w:p>
    <w:p>
      <w:pPr>
        <w:pStyle w:val="Normal"/>
        <w:jc w:val="both"/>
        <w:rPr>
          <w:rFonts w:ascii="Book Antiqua" w:hAnsi="Book Antiqua" w:cs="Book Antiqua"/>
        </w:rPr>
      </w:pPr>
      <w:r>
        <w:rPr>
          <w:rFonts w:cs="Book Antiqua" w:ascii="Book Antiqua" w:hAnsi="Book Antiqua"/>
        </w:rPr>
        <w:t>Even if the FERC does not adopt new marketing affiliate rules of general applicability or reimpose any kind of pricing regulation on marketing affiliates, there is a distinct possibility that the FERC could impose additional affiliate transaction restrictions in the order approving the underlying merger of the gas pipeline, LDC and electric utility.  FERC has imposed such restrictions in the past, where it found that a proposed merger could adversely affect competition.  (I make no determination as to whether such a finding is possible or likely in this case.)</w:t>
      </w:r>
    </w:p>
    <w:p>
      <w:pPr>
        <w:pStyle w:val="Normal"/>
        <w:jc w:val="both"/>
        <w:rPr>
          <w:rFonts w:ascii="Book Antiqua" w:hAnsi="Book Antiqua" w:cs="Book Antiqua"/>
        </w:rPr>
      </w:pPr>
      <w:r>
        <w:rPr>
          <w:rFonts w:cs="Book Antiqua" w:ascii="Book Antiqua" w:hAnsi="Book Antiqua"/>
        </w:rPr>
      </w:r>
    </w:p>
    <w:p>
      <w:pPr>
        <w:pStyle w:val="Normal"/>
        <w:jc w:val="both"/>
        <w:rPr/>
      </w:pPr>
      <w:r>
        <w:rPr>
          <w:rFonts w:cs="Book Antiqua" w:ascii="Book Antiqua" w:hAnsi="Book Antiqua"/>
        </w:rPr>
        <w:t xml:space="preserve">For example, in the Dominion Resources Inc. and Consolidated Natural Gas Co. merger, Docket No. EC99-81-000, order issued Nov. 10, 1999, the FERC found that the proposed merger may adversely affect competition in downstream markets and, that the merged company would have both an incentive and the ability to affect prices and output in certain markets.  In the Dominion case, the applicants themselves offered to extend the Standards of Conduct to the relationship between the pipeline and the affiliates with wholesale power market-based rate authority, with whom the pipeline conducts business.  The FERC, however, applied the Standards of Conduct to </w:t>
      </w:r>
      <w:r>
        <w:rPr>
          <w:rFonts w:cs="Book Antiqua" w:ascii="Book Antiqua" w:hAnsi="Book Antiqua"/>
          <w:b/>
          <w:bCs/>
        </w:rPr>
        <w:t>all</w:t>
      </w:r>
      <w:r>
        <w:rPr>
          <w:rFonts w:cs="Book Antiqua" w:ascii="Book Antiqua" w:hAnsi="Book Antiqua"/>
        </w:rPr>
        <w:t xml:space="preserve"> of the merged companies’ affiliates.  The FERC stated:</w:t>
      </w:r>
    </w:p>
    <w:p>
      <w:pPr>
        <w:pStyle w:val="Normal"/>
        <w:jc w:val="both"/>
        <w:rPr>
          <w:rFonts w:ascii="Book Antiqua" w:hAnsi="Book Antiqua" w:cs="Book Antiqua"/>
        </w:rPr>
      </w:pPr>
      <w:r>
        <w:rPr>
          <w:rFonts w:cs="Book Antiqua" w:ascii="Book Antiqua" w:hAnsi="Book Antiqua"/>
        </w:rPr>
      </w:r>
    </w:p>
    <w:p>
      <w:pPr>
        <w:pStyle w:val="BlockText"/>
        <w:rPr/>
      </w:pPr>
      <w:r>
        <w:rPr/>
        <w:t xml:space="preserve">Applying the Standards of Conduct requirements only to the relationship between CNG and its affiliates with wholesale power market-based rate authority and with whom CNG Transmission conducts transportation transactions is overly narrow.  We note that the value of competitive market information is independent of whether the affiliate transacts with CNG Transmission.  Also, applying the conditions exclusively to affiliates with wholesale power market-based rate authority also ignores the possibility that the merged company’s affiliates with cost-based rates could unduly profit from higher electric prices when market rates are less than cost-based rates.  As we stated in Enova, we are concerned not just with the potential for abuse between CNG and affiliated marketers, but also with the potential for abuse between any combination of the energy companies that would be affiliated under the proposed transactions.  </w:t>
      </w:r>
    </w:p>
    <w:p>
      <w:pPr>
        <w:pStyle w:val="Normal"/>
        <w:ind w:start="1440" w:end="1440"/>
        <w:jc w:val="both"/>
        <w:rPr>
          <w:rFonts w:ascii="Book Antiqua" w:hAnsi="Book Antiqua" w:cs="Book Antiqua"/>
        </w:rPr>
      </w:pPr>
      <w:r>
        <w:rPr>
          <w:rFonts w:cs="Book Antiqua" w:ascii="Book Antiqua" w:hAnsi="Book Antiqua"/>
        </w:rPr>
      </w:r>
    </w:p>
    <w:p>
      <w:pPr>
        <w:pStyle w:val="Normal"/>
        <w:tabs>
          <w:tab w:val="clear" w:pos="720"/>
          <w:tab w:val="left" w:pos="8640" w:leader="none"/>
        </w:tabs>
        <w:jc w:val="both"/>
        <w:rPr/>
      </w:pPr>
      <w:r>
        <w:rPr>
          <w:rFonts w:cs="Book Antiqua" w:ascii="Book Antiqua" w:hAnsi="Book Antiqua"/>
        </w:rPr>
        <w:t>The concern in our case would not be directed as much to the interstate pipeline transportation issues, as the remoteness of the LDC from the Enron pipelines should make this a minor concern.  The real ramification would come in if by virtue of the merger, all merged company affiliates were treated as marketing affiliates under the rules.  This would restrict the flow of information that certain Enron trading companies may now legally receive from our pipelines, where those companies do no physical business on those pipelines.  I am not aware of any specific instances of such communications, or even if we have some entities that are not considered marketing affiliates under the current regime,</w:t>
      </w:r>
      <w:r>
        <w:rPr>
          <w:rStyle w:val="FootnoteCharacters"/>
          <w:rStyle w:val="FootnoteReference"/>
          <w:rFonts w:cs="Book Antiqua" w:ascii="Book Antiqua" w:hAnsi="Book Antiqua"/>
        </w:rPr>
        <w:footnoteReference w:id="3"/>
      </w:r>
      <w:r>
        <w:rPr>
          <w:rFonts w:cs="Book Antiqua" w:ascii="Book Antiqua" w:hAnsi="Book Antiqua"/>
        </w:rPr>
        <w:t xml:space="preserve"> but the commercial folks must analyze this to ascertain any potential impact. </w:t>
      </w:r>
    </w:p>
    <w:p>
      <w:pPr>
        <w:pStyle w:val="Normal"/>
        <w:tabs>
          <w:tab w:val="clear" w:pos="720"/>
          <w:tab w:val="left" w:pos="8640" w:leader="none"/>
        </w:tabs>
        <w:jc w:val="both"/>
        <w:rPr>
          <w:rFonts w:ascii="Book Antiqua" w:hAnsi="Book Antiqua" w:cs="Book Antiqua"/>
        </w:rPr>
      </w:pPr>
      <w:r>
        <w:rPr>
          <w:rFonts w:cs="Book Antiqua" w:ascii="Book Antiqua" w:hAnsi="Book Antiqua"/>
        </w:rPr>
      </w:r>
    </w:p>
    <w:p>
      <w:pPr>
        <w:pStyle w:val="Normal"/>
        <w:tabs>
          <w:tab w:val="clear" w:pos="720"/>
          <w:tab w:val="left" w:pos="8640" w:leader="none"/>
        </w:tabs>
        <w:jc w:val="both"/>
        <w:rPr>
          <w:rFonts w:ascii="Book Antiqua" w:hAnsi="Book Antiqua" w:cs="Book Antiqua"/>
        </w:rPr>
      </w:pPr>
      <w:r>
        <w:rPr>
          <w:rFonts w:cs="Book Antiqua" w:ascii="Book Antiqua" w:hAnsi="Book Antiqua"/>
        </w:rPr>
        <w:t>The Dominion case predated the California “crisis” and, given that, there is a possibility that conditions not imposed in Dominion or other similar mergers, could be proposed for mergers affecting western companies at this point in time.  One such condition could be the regulation of the price the marketing affiliates can charge in sales for resale in interstate commerce.  Another condition could be additional reporting requirements.  Finally, some parties have suggested that affiliate marketers be precluded from transacting business on their pipelines, in the wake of the El Paso/California situation.  This is not to say, of course, that the merger raises concerns in any of these areas.  But what it does do is present a vehicle by which FERC could impose conditions on Enron, which it perceives to be a big player in the western energy markets, that might otherwise not be feasible to impose.  The relationship of the merger to western markets, where the energy situation is most critical, does create something of a target for FERC, if they are so inclined.</w:t>
      </w:r>
    </w:p>
    <w:p>
      <w:pPr>
        <w:pStyle w:val="Normal"/>
        <w:tabs>
          <w:tab w:val="clear" w:pos="720"/>
          <w:tab w:val="left" w:pos="8640" w:leader="none"/>
        </w:tabs>
        <w:jc w:val="both"/>
        <w:rPr>
          <w:rFonts w:ascii="Book Antiqua" w:hAnsi="Book Antiqua" w:cs="Book Antiqua"/>
        </w:rPr>
      </w:pPr>
      <w:r>
        <w:rPr>
          <w:rFonts w:cs="Book Antiqua" w:ascii="Book Antiqua" w:hAnsi="Book Antiqua"/>
        </w:rPr>
      </w:r>
    </w:p>
    <w:p>
      <w:pPr>
        <w:pStyle w:val="Normal"/>
        <w:tabs>
          <w:tab w:val="clear" w:pos="720"/>
          <w:tab w:val="left" w:pos="8640" w:leader="none"/>
        </w:tabs>
        <w:jc w:val="both"/>
        <w:rPr>
          <w:rFonts w:ascii="Book Antiqua" w:hAnsi="Book Antiqua" w:cs="Book Antiqua"/>
        </w:rPr>
      </w:pPr>
      <w:r>
        <w:rPr>
          <w:rFonts w:cs="Book Antiqua" w:ascii="Book Antiqua" w:hAnsi="Book Antiqua"/>
        </w:rPr>
      </w:r>
      <w:r>
        <w:br w:type="page"/>
      </w:r>
    </w:p>
    <w:p>
      <w:pPr>
        <w:pStyle w:val="Normal"/>
        <w:ind w:firstLine="360" w:end="0"/>
        <w:jc w:val="center"/>
        <w:rPr>
          <w:rFonts w:ascii="Book Antiqua" w:hAnsi="Book Antiqua" w:cs="Book Antiqua"/>
          <w:b/>
          <w:bCs/>
        </w:rPr>
      </w:pPr>
      <w:r>
        <w:rPr>
          <w:rFonts w:cs="Book Antiqua" w:ascii="Book Antiqua" w:hAnsi="Book Antiqua"/>
          <w:b/>
          <w:bCs/>
        </w:rPr>
        <w:t>Appendix</w:t>
      </w:r>
    </w:p>
    <w:p>
      <w:pPr>
        <w:pStyle w:val="Normal"/>
        <w:ind w:firstLine="360" w:end="0"/>
        <w:jc w:val="center"/>
        <w:rPr>
          <w:rFonts w:ascii="Book Antiqua" w:hAnsi="Book Antiqua" w:cs="Book Antiqua"/>
        </w:rPr>
      </w:pPr>
      <w:r>
        <w:rPr>
          <w:rFonts w:cs="Book Antiqua" w:ascii="Book Antiqua" w:hAnsi="Book Antiqua"/>
          <w:b/>
          <w:bCs/>
        </w:rPr>
        <w:t>Summary of Gas Marketing Affiliate Rule Provisions</w:t>
      </w:r>
    </w:p>
    <w:p>
      <w:pPr>
        <w:pStyle w:val="Normal"/>
        <w:ind w:firstLine="360" w:end="0"/>
        <w:jc w:val="both"/>
        <w:rPr>
          <w:rFonts w:ascii="Book Antiqua" w:hAnsi="Book Antiqua" w:cs="Book Antiqua"/>
        </w:rPr>
      </w:pPr>
      <w:r>
        <w:rPr>
          <w:rFonts w:cs="Book Antiqua" w:ascii="Book Antiqua" w:hAnsi="Book Antiqua"/>
        </w:rPr>
      </w:r>
    </w:p>
    <w:p>
      <w:pPr>
        <w:pStyle w:val="BodyTextIndent"/>
        <w:rPr>
          <w:szCs w:val="24"/>
        </w:rPr>
      </w:pPr>
      <w:r>
        <w:rPr>
          <w:szCs w:val="24"/>
        </w:rPr>
        <w:t xml:space="preserve">Particular sections of the rule require the pipeline: </w:t>
      </w:r>
    </w:p>
    <w:p>
      <w:pPr>
        <w:pStyle w:val="Normal"/>
        <w:ind w:firstLine="360" w:end="0"/>
        <w:jc w:val="both"/>
        <w:rPr>
          <w:rFonts w:ascii="Book Antiqua" w:hAnsi="Book Antiqua" w:cs="Book Antiqua"/>
          <w:szCs w:val="24"/>
        </w:rPr>
      </w:pPr>
      <w:r>
        <w:rPr>
          <w:rFonts w:cs="Book Antiqua" w:ascii="Book Antiqua" w:hAnsi="Book Antiqua"/>
          <w:szCs w:val="24"/>
        </w:rPr>
      </w:r>
    </w:p>
    <w:p>
      <w:pPr>
        <w:pStyle w:val="Normal"/>
        <w:numPr>
          <w:ilvl w:val="0"/>
          <w:numId w:val="1"/>
        </w:numPr>
        <w:jc w:val="both"/>
        <w:rPr>
          <w:rFonts w:ascii="Book Antiqua" w:hAnsi="Book Antiqua" w:cs="Book Antiqua"/>
        </w:rPr>
      </w:pPr>
      <w:r>
        <w:rPr>
          <w:rFonts w:cs="Book Antiqua" w:ascii="Book Antiqua" w:hAnsi="Book Antiqua"/>
        </w:rPr>
        <w:t>to maintain a log of data used to allocate capacity</w:t>
      </w:r>
    </w:p>
    <w:p>
      <w:pPr>
        <w:pStyle w:val="Normal"/>
        <w:numPr>
          <w:ilvl w:val="0"/>
          <w:numId w:val="1"/>
        </w:numPr>
        <w:jc w:val="both"/>
        <w:rPr>
          <w:rFonts w:ascii="Book Antiqua" w:hAnsi="Book Antiqua" w:cs="Book Antiqua"/>
        </w:rPr>
      </w:pPr>
      <w:r>
        <w:rPr>
          <w:rFonts w:cs="Book Antiqua" w:ascii="Book Antiqua" w:hAnsi="Book Antiqua"/>
        </w:rPr>
        <w:t>to post on the website a current log of allocation data for marketing affiliates,</w:t>
      </w:r>
    </w:p>
    <w:p>
      <w:pPr>
        <w:pStyle w:val="Normal"/>
        <w:numPr>
          <w:ilvl w:val="0"/>
          <w:numId w:val="1"/>
        </w:numPr>
        <w:jc w:val="both"/>
        <w:rPr>
          <w:rFonts w:ascii="Book Antiqua" w:hAnsi="Book Antiqua" w:cs="Book Antiqua"/>
        </w:rPr>
      </w:pPr>
      <w:r>
        <w:rPr>
          <w:rFonts w:cs="Book Antiqua" w:ascii="Book Antiqua" w:hAnsi="Book Antiqua"/>
        </w:rPr>
        <w:t xml:space="preserve">to provide upon request a log of affiliate and non-affiliate information, </w:t>
      </w:r>
    </w:p>
    <w:p>
      <w:pPr>
        <w:pStyle w:val="Normal"/>
        <w:numPr>
          <w:ilvl w:val="0"/>
          <w:numId w:val="1"/>
        </w:numPr>
        <w:jc w:val="both"/>
        <w:rPr>
          <w:rFonts w:ascii="Book Antiqua" w:hAnsi="Book Antiqua" w:cs="Book Antiqua"/>
        </w:rPr>
      </w:pPr>
      <w:r>
        <w:rPr>
          <w:rFonts w:cs="Book Antiqua" w:ascii="Book Antiqua" w:hAnsi="Book Antiqua"/>
        </w:rPr>
        <w:t>to maintain information on transportation discounts,</w:t>
      </w:r>
    </w:p>
    <w:p>
      <w:pPr>
        <w:pStyle w:val="Normal"/>
        <w:numPr>
          <w:ilvl w:val="0"/>
          <w:numId w:val="1"/>
        </w:numPr>
        <w:jc w:val="both"/>
        <w:rPr>
          <w:rFonts w:ascii="Book Antiqua" w:hAnsi="Book Antiqua" w:cs="Book Antiqua"/>
        </w:rPr>
      </w:pPr>
      <w:r>
        <w:rPr>
          <w:rFonts w:cs="Book Antiqua" w:ascii="Book Antiqua" w:hAnsi="Book Antiqua"/>
        </w:rPr>
        <w:t>to apply tariff provisions related to transportation in the same manner to similarly situated persons (where there is room for discretion),</w:t>
      </w:r>
    </w:p>
    <w:p>
      <w:pPr>
        <w:pStyle w:val="Normal"/>
        <w:numPr>
          <w:ilvl w:val="0"/>
          <w:numId w:val="1"/>
        </w:numPr>
        <w:jc w:val="both"/>
        <w:rPr>
          <w:rFonts w:ascii="Book Antiqua" w:hAnsi="Book Antiqua" w:cs="Book Antiqua"/>
        </w:rPr>
      </w:pPr>
      <w:r>
        <w:rPr>
          <w:rFonts w:cs="Book Antiqua" w:ascii="Book Antiqua" w:hAnsi="Book Antiqua"/>
        </w:rPr>
        <w:t>to strictly enforce tariffs for which there is no discretion,</w:t>
      </w:r>
    </w:p>
    <w:p>
      <w:pPr>
        <w:pStyle w:val="Normal"/>
        <w:numPr>
          <w:ilvl w:val="0"/>
          <w:numId w:val="1"/>
        </w:numPr>
        <w:jc w:val="both"/>
        <w:rPr>
          <w:rFonts w:ascii="Book Antiqua" w:hAnsi="Book Antiqua" w:cs="Book Antiqua"/>
        </w:rPr>
      </w:pPr>
      <w:r>
        <w:rPr>
          <w:rFonts w:cs="Book Antiqua" w:ascii="Book Antiqua" w:hAnsi="Book Antiqua"/>
        </w:rPr>
        <w:t>to give no preference to marketing affiliates for transportation and related services,</w:t>
      </w:r>
    </w:p>
    <w:p>
      <w:pPr>
        <w:pStyle w:val="Normal"/>
        <w:numPr>
          <w:ilvl w:val="0"/>
          <w:numId w:val="1"/>
        </w:numPr>
        <w:jc w:val="both"/>
        <w:rPr>
          <w:rFonts w:ascii="Book Antiqua" w:hAnsi="Book Antiqua" w:cs="Book Antiqua"/>
        </w:rPr>
      </w:pPr>
      <w:r>
        <w:rPr>
          <w:rFonts w:cs="Book Antiqua" w:ascii="Book Antiqua" w:hAnsi="Book Antiqua"/>
        </w:rPr>
        <w:t xml:space="preserve">to process similar requests for service in the same manner and time frame; </w:t>
      </w:r>
    </w:p>
    <w:p>
      <w:pPr>
        <w:pStyle w:val="Normal"/>
        <w:numPr>
          <w:ilvl w:val="0"/>
          <w:numId w:val="1"/>
        </w:numPr>
        <w:jc w:val="both"/>
        <w:rPr>
          <w:rFonts w:ascii="Book Antiqua" w:hAnsi="Book Antiqua" w:cs="Book Antiqua"/>
        </w:rPr>
      </w:pPr>
      <w:r>
        <w:rPr>
          <w:rFonts w:cs="Book Antiqua" w:ascii="Book Antiqua" w:hAnsi="Book Antiqua"/>
        </w:rPr>
        <w:t xml:space="preserve">not to disclose to marketing affiliates any information it receives from shippers or potential shippers, </w:t>
      </w:r>
    </w:p>
    <w:p>
      <w:pPr>
        <w:pStyle w:val="Normal"/>
        <w:numPr>
          <w:ilvl w:val="0"/>
          <w:numId w:val="1"/>
        </w:numPr>
        <w:jc w:val="both"/>
        <w:rPr>
          <w:rFonts w:ascii="Book Antiqua" w:hAnsi="Book Antiqua" w:cs="Book Antiqua"/>
        </w:rPr>
      </w:pPr>
      <w:r>
        <w:rPr>
          <w:rFonts w:cs="Book Antiqua" w:ascii="Book Antiqua" w:hAnsi="Book Antiqua"/>
        </w:rPr>
        <w:t>where it provides transportation information to a marketing affiliate, to provide that information contemporaneously to all potential shippers,</w:t>
      </w:r>
    </w:p>
    <w:p>
      <w:pPr>
        <w:pStyle w:val="Normal"/>
        <w:numPr>
          <w:ilvl w:val="0"/>
          <w:numId w:val="1"/>
        </w:numPr>
        <w:jc w:val="both"/>
        <w:rPr>
          <w:rFonts w:ascii="Book Antiqua" w:hAnsi="Book Antiqua" w:cs="Book Antiqua"/>
        </w:rPr>
      </w:pPr>
      <w:r>
        <w:rPr>
          <w:rFonts w:cs="Book Antiqua" w:ascii="Book Antiqua" w:hAnsi="Book Antiqua"/>
        </w:rPr>
        <w:t xml:space="preserve">to the maximum extent practicable, pipeline operating employees must function independently of operating employees of marketing affiliate. </w:t>
      </w:r>
    </w:p>
    <w:p>
      <w:pPr>
        <w:pStyle w:val="Normal"/>
        <w:numPr>
          <w:ilvl w:val="0"/>
          <w:numId w:val="1"/>
        </w:numPr>
        <w:tabs>
          <w:tab w:val="clear" w:pos="720"/>
          <w:tab w:val="left" w:pos="8640" w:leader="none"/>
        </w:tabs>
        <w:jc w:val="both"/>
        <w:rPr>
          <w:rFonts w:ascii="Book Antiqua" w:hAnsi="Book Antiqua" w:cs="Book Antiqua"/>
        </w:rPr>
      </w:pPr>
      <w:r>
        <w:rPr>
          <w:rFonts w:cs="Book Antiqua" w:ascii="Book Antiqua" w:hAnsi="Book Antiqua"/>
        </w:rPr>
        <w:t>to make transportation discounts offered to affiliates simultaneously available to all similarly situated non-affiliated shippers,</w:t>
      </w:r>
    </w:p>
    <w:p>
      <w:pPr>
        <w:pStyle w:val="Normal"/>
        <w:numPr>
          <w:ilvl w:val="0"/>
          <w:numId w:val="1"/>
        </w:numPr>
        <w:jc w:val="both"/>
        <w:rPr>
          <w:rFonts w:ascii="Book Antiqua" w:hAnsi="Book Antiqua" w:cs="Book Antiqua"/>
        </w:rPr>
      </w:pPr>
      <w:r>
        <w:rPr>
          <w:rFonts w:cs="Book Antiqua" w:ascii="Book Antiqua" w:hAnsi="Book Antiqua"/>
        </w:rPr>
        <w:t>and must post notice of discounted affiliated transportation transactions,</w:t>
      </w:r>
    </w:p>
    <w:p>
      <w:pPr>
        <w:pStyle w:val="BodyTextIndent2"/>
        <w:numPr>
          <w:ilvl w:val="0"/>
          <w:numId w:val="1"/>
        </w:numPr>
        <w:rPr/>
      </w:pPr>
      <w:r>
        <w:rPr/>
        <w:t xml:space="preserve">to maintain separate books and accounts from those of affiliates, </w:t>
      </w:r>
    </w:p>
    <w:p>
      <w:pPr>
        <w:pStyle w:val="BodyTextIndent2"/>
        <w:numPr>
          <w:ilvl w:val="0"/>
          <w:numId w:val="1"/>
        </w:numPr>
        <w:rPr/>
      </w:pPr>
      <w:r>
        <w:rPr/>
        <w:t xml:space="preserve">to maintain a log of waivers, and </w:t>
      </w:r>
    </w:p>
    <w:p>
      <w:pPr>
        <w:pStyle w:val="BodyTextIndent2"/>
        <w:numPr>
          <w:ilvl w:val="0"/>
          <w:numId w:val="1"/>
        </w:numPr>
        <w:rPr/>
      </w:pPr>
      <w:r>
        <w:rPr/>
        <w:t>to post notice of the names and addresses of its marketing affiliates on its website within 3 days of any change. This list shall include the names of operating personnel and facilities shared with the marketing affiliate, a comprehensive organizational chart showing corporate structure and for the pipeline, the job titles and descriptions and chain of command for all positions (except for certain exempt positions).</w:t>
      </w:r>
    </w:p>
    <w:p>
      <w:pPr>
        <w:pStyle w:val="Normal"/>
        <w:tabs>
          <w:tab w:val="clear" w:pos="720"/>
          <w:tab w:val="left" w:pos="8640" w:leader="none"/>
        </w:tabs>
        <w:jc w:val="both"/>
        <w:rPr>
          <w:rFonts w:ascii="Book Antiqua" w:hAnsi="Book Antiqua" w:cs="Book Antiqua"/>
        </w:rPr>
      </w:pPr>
      <w:r>
        <w:rPr>
          <w:rFonts w:cs="Book Antiqua" w:ascii="Book Antiqua" w:hAnsi="Book Antiqua"/>
        </w:rPr>
      </w:r>
    </w:p>
    <w:sectPr>
      <w:headerReference w:type="default" r:id="rId2"/>
      <w:headerReference w:type="first" r:id="rId3"/>
      <w:footnotePr>
        <w:numFmt w:val="decimal"/>
      </w:footnotePr>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ook Antiqua">
    <w:charset w:val="00" w:characterSet="windows-1252"/>
    <w:family w:val="roman"/>
    <w:pitch w:val="variable"/>
  </w:font>
  <w:font w:name="Verdana">
    <w:charset w:val="00" w:characterSet="windows-1252"/>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In fact, several parties have sought reimposition of price regulation on all sellers, but FERC is without jurisdiction to regulate sales of gas into any market if those sales are first sales, so essentially all the FERC could do in response to those petitions is to impose price limitations on marketing affiliates.  The petitions currently pending are the Los Angeles Department of Water and Power, National Association of Gas Consumers and San Diego Gas &amp; Electric Company.</w:t>
      </w:r>
    </w:p>
  </w:footnote>
  <w:footnote w:id="3">
    <w:p>
      <w:pPr>
        <w:pStyle w:val="FootnoteText"/>
        <w:jc w:val="both"/>
        <w:rPr/>
      </w:pPr>
      <w:r>
        <w:rPr>
          <w:rStyle w:val="FootnoteCharacters"/>
        </w:rPr>
        <w:footnoteRef/>
      </w:r>
      <w:r>
        <w:rPr/>
        <w:t xml:space="preserve"> </w:t>
      </w:r>
      <w:r>
        <w:rPr>
          <w:rFonts w:cs="Book Antiqua" w:ascii="Book Antiqua" w:hAnsi="Book Antiqua"/>
        </w:rPr>
        <w:t>It is my understanding that since our gas and electric trading functions are housed in the same company, we already live under the gas marketing affiliate rule with respect to our electric activities.  There may be other Enron companies that do not fall within the gas marketing affiliate definition and would then be adversely affected by a Dominion-type condition that brought them under that coverage.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720"/>
        </w:tabs>
        <w:ind w:start="720" w:hanging="360"/>
      </w:pPr>
      <w:r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5"/>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BlockText">
    <w:name w:val="Block Text"/>
    <w:basedOn w:val="Normal"/>
    <w:qFormat/>
    <w:pPr>
      <w:ind w:hanging="0" w:start="1440" w:end="1440"/>
      <w:jc w:val="both"/>
    </w:pPr>
    <w:rPr>
      <w:rFonts w:ascii="Book Antiqua" w:hAnsi="Book Antiqua" w:cs="Book Antiqua"/>
    </w:rPr>
  </w:style>
  <w:style w:type="paragraph" w:styleId="BodyTextIndent">
    <w:name w:val="Body Text Indent"/>
    <w:basedOn w:val="Normal"/>
    <w:pPr>
      <w:ind w:firstLine="360" w:start="0" w:end="0"/>
      <w:jc w:val="both"/>
    </w:pPr>
    <w:rPr>
      <w:rFonts w:ascii="Book Antiqua" w:hAnsi="Book Antiqua" w:cs="Book Antiqua"/>
      <w:szCs w:val="20"/>
    </w:rPr>
  </w:style>
  <w:style w:type="paragraph" w:styleId="BodyTextIndent2">
    <w:name w:val="Body Text Indent 2"/>
    <w:basedOn w:val="Normal"/>
    <w:qFormat/>
    <w:pPr>
      <w:ind w:hanging="0" w:start="720" w:end="0"/>
      <w:jc w:val="both"/>
    </w:pPr>
    <w:rPr>
      <w:rFonts w:ascii="Book Antiqua" w:hAnsi="Book Antiqua" w:cs="Book Antiqua"/>
    </w:rPr>
  </w:style>
  <w:style w:type="paragraph" w:styleId="BodyTextIndent3">
    <w:name w:val="Body Text Indent 3"/>
    <w:basedOn w:val="Normal"/>
    <w:qFormat/>
    <w:pPr>
      <w:ind w:hanging="0" w:start="360" w:end="0"/>
      <w:jc w:val="both"/>
    </w:pPr>
    <w:rPr>
      <w:rFonts w:ascii="Book Antiqua" w:hAnsi="Book Antiqua" w:cs="Book Antiqu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2001-08-07T11:54:00Z</dcterms:created>
  <dc:creator>llawner</dc:creator>
  <dc:description/>
  <dc:language>en-CA</dc:language>
  <cp:lastModifiedBy>llawner</cp:lastModifiedBy>
  <cp:lastPrinted>2001-08-07T16:22:00Z</cp:lastPrinted>
  <dcterms:modified xsi:type="dcterms:W3CDTF">2001-08-08T12:11:00Z</dcterms:modified>
  <cp:revision>15</cp:revision>
  <dc:subject/>
  <dc:title>Schedule Friday, August 3:</dc:title>
</cp:coreProperties>
</file>