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Caption"/>
        <w:rPr/>
      </w:pPr>
      <w:r>
        <w:rPr/>
        <w:t>Enron North America Corp</w:t>
      </w:r>
    </w:p>
    <w:p>
      <w:pPr>
        <w:pStyle w:val="Caption"/>
        <w:rPr/>
      </w:pPr>
      <w:r>
        <w:rPr/>
        <w:t>1400 Smith Street</w:t>
      </w:r>
    </w:p>
    <w:p>
      <w:pPr>
        <w:pStyle w:val="Caption"/>
        <w:spacing w:before="0" w:after="480"/>
        <w:rPr/>
      </w:pPr>
      <w:r>
        <w:rPr/>
        <w:t>Houston, Texas  77002</w:t>
      </w:r>
    </w:p>
    <w:p>
      <w:pPr>
        <w:pStyle w:val="Caption"/>
        <w:rPr/>
      </w:pPr>
      <w:r>
        <w:rPr/>
        <w:t>E-Next Generation LLC</w:t>
      </w:r>
    </w:p>
    <w:p>
      <w:pPr>
        <w:pStyle w:val="Normal"/>
        <w:jc w:val="center"/>
        <w:rPr/>
      </w:pPr>
      <w:r>
        <w:rPr/>
        <w:t>c/o Enron North America, as agent</w:t>
      </w:r>
    </w:p>
    <w:p>
      <w:pPr>
        <w:pStyle w:val="Normal"/>
        <w:jc w:val="center"/>
        <w:rPr/>
      </w:pPr>
      <w:r>
        <w:rPr/>
        <w:t>1400 Smith Street</w:t>
      </w:r>
    </w:p>
    <w:p>
      <w:pPr>
        <w:pStyle w:val="Normal"/>
        <w:jc w:val="center"/>
        <w:rPr/>
      </w:pPr>
      <w:r>
        <w:rPr/>
        <w:t>Houston, Texas 77002</w:t>
      </w:r>
    </w:p>
    <w:p>
      <w:pPr>
        <w:pStyle w:val="Caption"/>
        <w:spacing w:before="0" w:after="480"/>
        <w:rPr/>
      </w:pPr>
      <w:r>
        <w:rPr/>
      </w:r>
    </w:p>
    <w:p>
      <w:pPr>
        <w:pStyle w:val="Caption"/>
        <w:spacing w:before="0" w:after="480"/>
        <w:rPr/>
      </w:pPr>
      <w:r>
        <w:rPr/>
        <w:t>December __, 2000</w:t>
      </w:r>
    </w:p>
    <w:p>
      <w:pPr>
        <w:pStyle w:val="BodyText2"/>
        <w:rPr/>
      </w:pPr>
      <w:r>
        <w:rPr/>
        <w:t>General Electric Company</w:t>
      </w:r>
    </w:p>
    <w:p>
      <w:pPr>
        <w:pStyle w:val="BodyText2"/>
        <w:rPr/>
      </w:pPr>
      <w:r>
        <w:rPr/>
        <w:t>1 River Road</w:t>
      </w:r>
    </w:p>
    <w:p>
      <w:pPr>
        <w:pStyle w:val="BodyText2"/>
        <w:rPr/>
      </w:pPr>
      <w:r>
        <w:rPr/>
        <w:t>Schnectady, NY 12345</w:t>
      </w:r>
    </w:p>
    <w:p>
      <w:pPr>
        <w:pStyle w:val="BodyText2"/>
        <w:spacing w:before="0" w:after="240"/>
        <w:rPr/>
      </w:pPr>
      <w:r>
        <w:rPr/>
      </w:r>
    </w:p>
    <w:p>
      <w:pPr>
        <w:pStyle w:val="BodyText"/>
        <w:rPr/>
      </w:pPr>
      <w:r>
        <w:rPr/>
        <w:t>Ladies and Gentlemen:</w:t>
      </w:r>
    </w:p>
    <w:p>
      <w:pPr>
        <w:pStyle w:val="BodyTextFirstIndent"/>
        <w:rPr/>
      </w:pPr>
      <w:r>
        <w:rPr/>
        <w:t>Reference is made to the Agreement for the purchase of the Pastoria Combined Cycle Power Islands, dated May 1, 2000, between Westdeutsche Landesbank Girozentrale, New York Branch (“WestLB”), acting through its agent, Enron North America Corp. (“ENA”) and General Electric Company (“GE”), and as assigned on December ___, 2000 to E-Next Generation LLC (the “</w:t>
      </w:r>
      <w:r>
        <w:rPr>
          <w:rStyle w:val="underline"/>
        </w:rPr>
        <w:t>Purchaser</w:t>
      </w:r>
      <w:r>
        <w:rPr/>
        <w:t xml:space="preserve">”), a copy of which is attached hereto as </w:t>
      </w:r>
      <w:r>
        <w:rPr>
          <w:rStyle w:val="underline"/>
        </w:rPr>
        <w:t>Exhibit A</w:t>
      </w:r>
      <w:r>
        <w:rPr/>
        <w:t xml:space="preserve"> (as modified, supplemented and in effect from time to time, the “</w:t>
      </w:r>
      <w:r>
        <w:rPr>
          <w:rStyle w:val="underline"/>
        </w:rPr>
        <w:t>Turbine Contract</w:t>
      </w:r>
      <w:r>
        <w:rPr/>
        <w:t>”).  Unless otherwise specified herein, terms defined in the Turbine Contract are used herein as defined therein after giving effect to this letter agreement.</w:t>
      </w:r>
    </w:p>
    <w:p>
      <w:pPr>
        <w:pStyle w:val="BodyTextFirstIndent"/>
        <w:rPr/>
      </w:pPr>
      <w:r>
        <w:rPr/>
        <w:t>Until the Transfer Date, the parties hereto acknowledge and agree that the Turbine Contract shall be deemed amended in accordance with the following provisions:</w:t>
      </w:r>
    </w:p>
    <w:p>
      <w:pPr>
        <w:pStyle w:val="Heading1"/>
        <w:ind w:hanging="0" w:start="0"/>
        <w:rPr/>
      </w:pPr>
      <w:r>
        <w:rPr>
          <w:rStyle w:val="underline"/>
        </w:rPr>
        <w:t>Section 22.2</w:t>
      </w:r>
      <w:r>
        <w:rPr/>
        <w:t xml:space="preserve"> of the Turbine Contract shall be deemed amended in its entirety to read as set forth on </w:t>
      </w:r>
      <w:r>
        <w:rPr>
          <w:rStyle w:val="underline"/>
        </w:rPr>
        <w:t>Annex I</w:t>
      </w:r>
      <w:r>
        <w:rPr/>
        <w:t xml:space="preserve"> hereto.</w:t>
      </w:r>
    </w:p>
    <w:p>
      <w:pPr>
        <w:pStyle w:val="BodyTextFirstIndent"/>
        <w:rPr/>
      </w:pPr>
      <w:r>
        <w:rPr/>
        <w:t>As used herein, “</w:t>
      </w:r>
      <w:r>
        <w:rPr>
          <w:rStyle w:val="underline"/>
        </w:rPr>
        <w:t>Transfer Date</w:t>
      </w:r>
      <w:r>
        <w:rPr/>
        <w:t xml:space="preserve">” shall mean the date on which Purchaser and Agent assign all of their respective rights and obligations in, to and under the Turbine Contract to any assignee in accordance with </w:t>
      </w:r>
      <w:r>
        <w:rPr>
          <w:rStyle w:val="underline"/>
        </w:rPr>
        <w:t>Section 22.2</w:t>
      </w:r>
      <w:r>
        <w:rPr/>
        <w:t xml:space="preserve"> of the Turbine Contract.  Upon the occurrence of the Transfer Date, this letter agreement shall terminate and be of no further force or effect and the Turbine Contract shall be interpreted and construed without giving effect to this letter agreement.</w:t>
      </w:r>
    </w:p>
    <w:p>
      <w:pPr>
        <w:pStyle w:val="BodyTextFirstIndent"/>
        <w:rPr/>
      </w:pPr>
      <w:r>
        <w:rPr/>
        <w:t>This letter agreement, its interpretation and any disputes relating to, arising out of or connected to this letter agreement, shall governed by the laws of the State of New York, without regard to its conflicts of law provisions (other than Section 5-1401 of the New York General Obligations Law).  All disputes or disagreements arising out of or relating to the implementation or performance of this letter agreement shall be subject to and determined in accordance with Article XXVI of the Turbine Contract.</w:t>
      </w:r>
    </w:p>
    <w:p>
      <w:pPr>
        <w:pStyle w:val="BodyTextFirstIndent"/>
        <w:rPr/>
      </w:pPr>
      <w:r>
        <w:rPr/>
      </w:r>
    </w:p>
    <w:p>
      <w:pPr>
        <w:pStyle w:val="BodyTextFirstIndent"/>
        <w:rPr/>
      </w:pPr>
      <w:r>
        <w:rPr/>
      </w:r>
    </w:p>
    <w:p>
      <w:pPr>
        <w:pStyle w:val="BodyTextFirstIndent"/>
        <w:rPr/>
      </w:pPr>
      <w:r>
        <w:rPr/>
        <w:t>REMAINDER OF PAGE LEFT INTENTIONALLY</w:t>
      </w:r>
      <w:r>
        <w:br w:type="page"/>
      </w:r>
    </w:p>
    <w:p>
      <w:pPr>
        <w:pStyle w:val="BodyTextFirstIndent"/>
        <w:rPr/>
      </w:pPr>
      <w:r>
        <w:rPr/>
      </w:r>
    </w:p>
    <w:p>
      <w:pPr>
        <w:pStyle w:val="rightjust"/>
        <w:jc w:val="center"/>
        <w:rPr/>
      </w:pPr>
      <w:r>
        <w:rPr/>
        <w:t>ANNEX I</w:t>
      </w:r>
    </w:p>
    <w:p>
      <w:pPr>
        <w:pStyle w:val="BodyText"/>
        <w:numPr>
          <w:ilvl w:val="1"/>
          <w:numId w:val="3"/>
        </w:numPr>
        <w:rPr/>
      </w:pPr>
      <w:r>
        <w:rPr>
          <w:u w:val="single"/>
        </w:rPr>
        <w:t>Assignment by Purchaser or Agent</w:t>
      </w:r>
      <w:r>
        <w:rPr/>
        <w:t xml:space="preserve">.  </w:t>
      </w:r>
    </w:p>
    <w:p>
      <w:pPr>
        <w:pStyle w:val="BodyText"/>
        <w:rPr/>
      </w:pPr>
      <w:r>
        <w:rPr/>
        <w:t>Neither Party shall assign any or all of their duties or rights under this Contract without prior written consent from the other Party; such consent not to be unreasonably withheld.  If the Purchaser wishes to obtain the Seller’s consent to the assignment of Purchaser’s duties or rights under this Contract, it shall request such consent in a writing which includes or incorporates:</w:t>
      </w:r>
    </w:p>
    <w:p>
      <w:pPr>
        <w:pStyle w:val="Normal"/>
        <w:jc w:val="both"/>
        <w:rPr/>
      </w:pPr>
      <w:r>
        <w:rPr/>
      </w:r>
    </w:p>
    <w:p>
      <w:pPr>
        <w:pStyle w:val="Normal"/>
        <w:numPr>
          <w:ilvl w:val="0"/>
          <w:numId w:val="4"/>
        </w:numPr>
        <w:jc w:val="both"/>
        <w:rPr/>
      </w:pPr>
      <w:r>
        <w:rPr/>
        <w:t>the legal name and address and the form and place of incorporation or organization of the proposed assignee;</w:t>
      </w:r>
    </w:p>
    <w:p>
      <w:pPr>
        <w:pStyle w:val="Normal"/>
        <w:jc w:val="both"/>
        <w:rPr/>
      </w:pPr>
      <w:r>
        <w:rPr/>
      </w:r>
    </w:p>
    <w:p>
      <w:pPr>
        <w:pStyle w:val="Normal"/>
        <w:numPr>
          <w:ilvl w:val="0"/>
          <w:numId w:val="4"/>
        </w:numPr>
        <w:jc w:val="both"/>
        <w:rPr/>
      </w:pPr>
      <w:r>
        <w:rPr/>
        <w:t>the current published annual report of the proposed assignee, or if no such report is published three years of audited financial statements and a description of the proposed assignee’s business; and</w:t>
      </w:r>
    </w:p>
    <w:p>
      <w:pPr>
        <w:pStyle w:val="Normal"/>
        <w:jc w:val="both"/>
        <w:rPr/>
      </w:pPr>
      <w:r>
        <w:rPr/>
      </w:r>
    </w:p>
    <w:p>
      <w:pPr>
        <w:pStyle w:val="Normal"/>
        <w:numPr>
          <w:ilvl w:val="0"/>
          <w:numId w:val="4"/>
        </w:numPr>
        <w:jc w:val="both"/>
        <w:rPr/>
      </w:pPr>
      <w:r>
        <w:rPr/>
        <w:t>a descriptive list of power generation projects completed by the assignee during the preceding year.</w:t>
      </w:r>
    </w:p>
    <w:p>
      <w:pPr>
        <w:pStyle w:val="Normal"/>
        <w:jc w:val="both"/>
        <w:rPr/>
      </w:pPr>
      <w:r>
        <w:rPr/>
      </w:r>
    </w:p>
    <w:p>
      <w:pPr>
        <w:pStyle w:val="BodyText"/>
        <w:rPr/>
      </w:pPr>
      <w:r>
        <w:rPr/>
        <w:t xml:space="preserve">Seller shall respond to any request for consent within thirty (30) days following its receipt of such request.   </w:t>
      </w:r>
    </w:p>
    <w:p>
      <w:pPr>
        <w:pStyle w:val="BodyText"/>
        <w:rPr/>
      </w:pPr>
      <w:r>
        <w:rPr/>
        <w:t>Notwithstanding the foregoing:</w:t>
      </w:r>
    </w:p>
    <w:p>
      <w:pPr>
        <w:pStyle w:val="BodyText"/>
        <w:numPr>
          <w:ilvl w:val="0"/>
          <w:numId w:val="5"/>
        </w:numPr>
        <w:rPr/>
      </w:pPr>
      <w:r>
        <w:rPr/>
        <w:t>any lender participating in or providing financing or financing structures, including, without limitation, structures related to leasing arrangements and project financing in respect of any Unit, may transfer or assign its rights associated with such Unit upon liquidation or foreclosure of such Unit in satisfaction of Purchaser’s obligations under such financing structure;</w:t>
      </w:r>
    </w:p>
    <w:p>
      <w:pPr>
        <w:pStyle w:val="BodyText"/>
        <w:numPr>
          <w:ilvl w:val="0"/>
          <w:numId w:val="5"/>
        </w:numPr>
        <w:rPr/>
      </w:pPr>
      <w:r>
        <w:rPr/>
        <w:t xml:space="preserve">either Party may without further consent by the other Party delegate or assign its duties or rights to any Affiliate or subsidiary; </w:t>
      </w:r>
    </w:p>
    <w:p>
      <w:pPr>
        <w:pStyle w:val="BodyText"/>
        <w:numPr>
          <w:ilvl w:val="0"/>
          <w:numId w:val="5"/>
        </w:numPr>
        <w:rPr/>
      </w:pPr>
      <w:r>
        <w:rPr/>
        <w:t>Purchaser may without further consent of the Seller delegate or assign its duties or rights to any Affiliate of Enron Corp.; or</w:t>
      </w:r>
    </w:p>
    <w:p>
      <w:pPr>
        <w:pStyle w:val="BodyText"/>
        <w:numPr>
          <w:ilvl w:val="0"/>
          <w:numId w:val="5"/>
        </w:numPr>
        <w:rPr/>
      </w:pPr>
      <w:r>
        <w:rPr/>
        <w:t xml:space="preserve">if Purchaser holds or controls other material assets associated with the Facility into which any Unit will be installed (the “Transferred Facility”) and if Purchaser transfers of all or substantially all of its rights in and to such assets, Purchaser may without further consent delegate or assign its duties or rights associated with such Unit to the transferee of such other assets (the “Transferee”), </w:t>
      </w:r>
      <w:r>
        <w:rPr>
          <w:i/>
        </w:rPr>
        <w:t>provided</w:t>
      </w:r>
      <w:r>
        <w:rPr/>
        <w:t xml:space="preserve"> that one of the following conditions has and continues to be fulfilled:</w:t>
      </w:r>
    </w:p>
    <w:p>
      <w:pPr>
        <w:pStyle w:val="BodyText"/>
        <w:rPr/>
      </w:pPr>
      <w:r>
        <w:rPr/>
      </w:r>
    </w:p>
    <w:p>
      <w:pPr>
        <w:pStyle w:val="BodyText"/>
        <w:numPr>
          <w:ilvl w:val="0"/>
          <w:numId w:val="6"/>
        </w:numPr>
        <w:tabs>
          <w:tab w:val="clear" w:pos="720"/>
          <w:tab w:val="left" w:pos="1440" w:leader="none"/>
        </w:tabs>
        <w:ind w:hanging="720" w:start="1440" w:end="0"/>
        <w:rPr/>
      </w:pPr>
      <w:r>
        <w:rPr/>
        <w:t>prior to payment of the Purchase Amount, that Transferee (A) has provided financial guarantees reasonably satisfactory to the Seller and valid until such time as the Purchase Amount shall be paid in full, or (B) has demonstrated that it has credit rated by Standard &amp; Poor’s at BBB- or better, and has agreed that if it fails to maintain such rating until the Purchase Amount shall have been paid in full that it will provide financial guarantees as described in subsection (A) above.</w:t>
      </w:r>
    </w:p>
    <w:p>
      <w:pPr>
        <w:pStyle w:val="BodyText"/>
        <w:numPr>
          <w:ilvl w:val="0"/>
          <w:numId w:val="6"/>
        </w:numPr>
        <w:tabs>
          <w:tab w:val="clear" w:pos="720"/>
          <w:tab w:val="left" w:pos="1440" w:leader="none"/>
        </w:tabs>
        <w:ind w:hanging="720" w:start="1440" w:end="0"/>
        <w:rPr/>
      </w:pPr>
      <w:r>
        <w:rPr/>
        <w:t>that Transferee shall provide representations reasonably satisfactory to Seller that a credit facility covering the Transferred Facility has been agreed and is operative.</w:t>
      </w:r>
    </w:p>
    <w:p>
      <w:pPr>
        <w:pStyle w:val="Normal"/>
        <w:autoSpaceDE w:val="false"/>
        <w:spacing w:lineRule="atLeast" w:line="240"/>
        <w:jc w:val="both"/>
        <w:rPr>
          <w:color w:val="000000"/>
          <w:szCs w:val="24"/>
        </w:rPr>
      </w:pPr>
      <w:r>
        <w:rPr>
          <w:color w:val="000000"/>
          <w:szCs w:val="24"/>
        </w:rPr>
        <w:t>Purchaser or Agent shall have the right to assign or pledge, from time to time, all or any portion of their respective right, title and interest in, to and under the Agreement as collateral for financing of this Facility without Seller’s consent.</w:t>
      </w:r>
    </w:p>
    <w:p>
      <w:pPr>
        <w:pStyle w:val="Normal"/>
        <w:autoSpaceDE w:val="false"/>
        <w:spacing w:lineRule="atLeast" w:line="240"/>
        <w:jc w:val="both"/>
        <w:rPr>
          <w:color w:val="000000"/>
          <w:szCs w:val="24"/>
        </w:rPr>
      </w:pPr>
      <w:r>
        <w:rPr>
          <w:color w:val="000000"/>
          <w:szCs w:val="24"/>
        </w:rPr>
      </w:r>
    </w:p>
    <w:p>
      <w:pPr>
        <w:pStyle w:val="BodyText"/>
        <w:rPr/>
      </w:pPr>
      <w:r>
        <w:rPr/>
        <w:t>When duly assigned in accordance with this Section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
        <w:rPr/>
      </w:pPr>
      <w:r>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BodyText"/>
        <w:rPr/>
      </w:pPr>
      <w:r>
        <w:rPr/>
      </w:r>
      <w:r>
        <w:br w:type="page"/>
      </w:r>
    </w:p>
    <w:p>
      <w:pPr>
        <w:pStyle w:val="BodyTextFirstIndent"/>
        <w:rPr/>
      </w:pPr>
      <w:r>
        <w:rPr/>
        <w:t>IN WITNESS WHEREOF, this letter agreement has been duly executed by the parties hereto as of the date first above written.</w:t>
      </w:r>
    </w:p>
    <w:p>
      <w:pPr>
        <w:pStyle w:val="Signature"/>
        <w:rPr/>
      </w:pPr>
      <w:r>
        <w:rPr>
          <w:rStyle w:val="underline"/>
        </w:rPr>
        <w:t>AGENT</w:t>
      </w:r>
      <w:r>
        <w:rPr/>
        <w:t>:</w:t>
      </w:r>
    </w:p>
    <w:p>
      <w:pPr>
        <w:pStyle w:val="Signature"/>
        <w:rPr/>
      </w:pPr>
      <w:r>
        <w:rPr/>
      </w:r>
    </w:p>
    <w:p>
      <w:pPr>
        <w:pStyle w:val="Signature"/>
        <w:spacing w:before="0" w:after="240"/>
        <w:rPr/>
      </w:pPr>
      <w:r>
        <w:rPr/>
        <w:t>ENRON NORTH AMERICA CORP.</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PURCHASER</w:t>
      </w:r>
      <w:r>
        <w:rPr/>
        <w:t>:</w:t>
      </w:r>
    </w:p>
    <w:p>
      <w:pPr>
        <w:pStyle w:val="Signature"/>
        <w:spacing w:before="0" w:after="240"/>
        <w:rPr/>
      </w:pPr>
      <w:r>
        <w:rPr/>
        <w:t>E-NEXT GENERATION LLC</w:t>
      </w:r>
    </w:p>
    <w:p>
      <w:pPr>
        <w:pStyle w:val="Signature"/>
        <w:spacing w:before="0" w:after="240"/>
        <w:rPr/>
      </w:pPr>
      <w:r>
        <w:rPr/>
        <w:t>By: Wilmington Trust Company, not in its individual capacity, but solely as Manager</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GE</w:t>
      </w:r>
      <w:r>
        <w:rPr/>
        <w:t>:</w:t>
      </w:r>
    </w:p>
    <w:p>
      <w:pPr>
        <w:pStyle w:val="Signature"/>
        <w:spacing w:before="0" w:after="240"/>
        <w:rPr/>
      </w:pPr>
      <w:r>
        <w:rPr/>
        <w:t>GENERAL ELECTRIC COMPANY</w:t>
      </w:r>
    </w:p>
    <w:p>
      <w:pPr>
        <w:pStyle w:val="Signature"/>
        <w:rPr/>
      </w:pPr>
      <w:r>
        <w:rPr/>
        <w:t>By:</w:t>
        <w:tab/>
      </w:r>
    </w:p>
    <w:p>
      <w:pPr>
        <w:pStyle w:val="Signature"/>
        <w:rPr/>
      </w:pPr>
      <w:r>
        <w:rPr/>
        <w:t>Name:</w:t>
        <w:tab/>
      </w:r>
    </w:p>
    <w:p>
      <w:pPr>
        <w:pStyle w:val="Signature"/>
        <w:rPr/>
      </w:pPr>
      <w:r>
        <w:rPr/>
        <w:t>Its:</w:t>
        <w:tab/>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Caption"/>
        <w:spacing w:before="0" w:after="240"/>
        <w:rPr>
          <w:sz w:val="18"/>
        </w:rPr>
      </w:pPr>
      <w:r>
        <w:rPr>
          <w:sz w:val="18"/>
        </w:rPr>
        <w:t>[Signature Page to Override Letter]</w:t>
      </w:r>
    </w:p>
    <w:p>
      <w:pPr>
        <w:pStyle w:val="BodyText"/>
        <w:spacing w:before="0" w:after="240"/>
        <w:rPr>
          <w:sz w:val="18"/>
        </w:rPr>
      </w:pPr>
      <w:r>
        <w:rPr>
          <w:sz w:val="18"/>
        </w:rPr>
      </w:r>
    </w:p>
    <w:sectPr>
      <w:footerReference w:type="default" r:id="rId3"/>
      <w:footerReference w:type="first" r:id="rId4"/>
      <w:type w:val="nextPage"/>
      <w:pgSz w:w="12240" w:h="15840"/>
      <w:pgMar w:left="1800" w:right="1800" w:gutter="0" w:header="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2"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440"/>
        </w:tabs>
        <w:ind w:start="1440" w:hanging="720"/>
      </w:pPr>
      <w:rPr/>
    </w:lvl>
    <w:lvl w:ilvl="2">
      <w:start w:val="1"/>
      <w:pStyle w:val="Heading3"/>
      <w:numFmt w:val="lowerRoman"/>
      <w:lvlText w:val="(%3)"/>
      <w:lvlJc w:val="start"/>
      <w:pPr>
        <w:tabs>
          <w:tab w:val="num" w:pos="2160"/>
        </w:tabs>
        <w:ind w:start="2160" w:hanging="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2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720"/>
        </w:tabs>
        <w:ind w:start="720" w:hanging="720"/>
      </w:pPr>
      <w:rPr>
        <w:i w:val="false"/>
        <w:b w:val="false"/>
      </w:rPr>
    </w:lvl>
  </w:abstractNum>
  <w:abstractNum w:abstractNumId="5">
    <w:lvl w:ilvl="0">
      <w:start w:val="23"/>
      <w:numFmt w:val="lowerLetter"/>
      <w:lvlText w:val="(%1)"/>
      <w:lvlJc w:val="start"/>
      <w:pPr>
        <w:tabs>
          <w:tab w:val="num" w:pos="720"/>
        </w:tabs>
        <w:ind w:start="720" w:hanging="720"/>
      </w:pPr>
      <w:rPr/>
    </w:lvl>
  </w:abstractNum>
  <w:abstractNum w:abstractNumId="6">
    <w:lvl w:ilvl="0">
      <w:start w:val="1"/>
      <w:numFmt w:val="low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3z0">
    <w:name w:val="WW8Num13z0"/>
    <w:qFormat/>
    <w:rPr>
      <w:b w:val="false"/>
      <w:i w:val="false"/>
    </w:rPr>
  </w:style>
  <w:style w:type="character" w:styleId="WW8Num14z0">
    <w:name w:val="WW8Num14z0"/>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DocID">
    <w:name w:val="DocID"/>
    <w:basedOn w:val="DefaultParagraphFont"/>
    <w:qFormat/>
    <w:rPr>
      <w:sz w:val="12"/>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Cs/>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sz w:val="24"/>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jc w:val="both"/>
    </w:pPr>
    <w:rPr>
      <w:sz w:val="24"/>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Lines/>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0" w:after="240"/>
      <w:ind w:firstLine="720" w:start="720" w:end="720"/>
      <w:jc w:val="both"/>
    </w:pPr>
    <w:rPr/>
  </w:style>
  <w:style w:type="paragraph" w:styleId="rightjust">
    <w:name w:val="right just"/>
    <w:basedOn w:val="BodyText"/>
    <w:qFormat/>
    <w:pPr>
      <w:jc w:val="end"/>
    </w:pPr>
    <w:rPr/>
  </w:style>
  <w:style w:type="paragraph" w:styleId="Footer">
    <w:name w:val="footer"/>
    <w:basedOn w:val="Normal"/>
    <w:pPr>
      <w:tabs>
        <w:tab w:val="clear" w:pos="720"/>
        <w:tab w:val="center" w:pos="4320" w:leader="none"/>
        <w:tab w:val="right" w:pos="8640" w:leader="none"/>
      </w:tabs>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losing">
    <w:name w:val="Closing"/>
    <w:basedOn w:val="Normal"/>
    <w:qFormat/>
    <w:pPr>
      <w:ind w:hanging="0" w:start="4320" w:end="0"/>
    </w:pPr>
    <w:rPr/>
  </w:style>
  <w:style w:type="paragraph" w:styleId="Level1">
    <w:name w:val="Level 1"/>
    <w:basedOn w:val="Normal"/>
    <w:qFormat/>
    <w:pPr>
      <w:widowControl w:val="false"/>
      <w:numPr>
        <w:ilvl w:val="0"/>
        <w:numId w:val="2"/>
      </w:numPr>
      <w:ind w:hanging="720" w:start="720" w:end="0"/>
      <w:outlineLvl w:val="0"/>
    </w:pPr>
    <w:rPr>
      <w:rFonts w:ascii="Univers" w:hAnsi="Univers" w:cs="Univer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2000-12-08T03:04:00Z</dcterms:created>
  <dc:creator>A&amp;K</dc:creator>
  <dc:description/>
  <dc:language>en-CA</dc:language>
  <cp:lastModifiedBy>kmann</cp:lastModifiedBy>
  <cp:lastPrinted>2000-12-07T23:28:00Z</cp:lastPrinted>
  <dcterms:modified xsi:type="dcterms:W3CDTF">2000-12-08T03:04:00Z</dcterms:modified>
  <cp:revision>2</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HOU:596247.1 </vt:lpwstr>
  </property>
</Properties>
</file>